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2EA82B84" w:rsidR="00D0025C" w:rsidRPr="001F1128" w:rsidRDefault="00D0025C" w:rsidP="00FB5A6A">
      <w:pPr>
        <w:pStyle w:val="Title"/>
        <w:tabs>
          <w:tab w:val="left" w:pos="709"/>
          <w:tab w:val="right" w:pos="9639"/>
        </w:tabs>
        <w:wordWrap w:val="0"/>
        <w:spacing w:before="0" w:after="0"/>
        <w:ind w:right="120"/>
        <w:jc w:val="both"/>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#90</w:t>
      </w:r>
      <w:r w:rsidR="00C94FDA">
        <w:rPr>
          <w:rFonts w:eastAsia="MS Mincho" w:cs="Arial"/>
          <w:kern w:val="0"/>
          <w:sz w:val="24"/>
          <w:szCs w:val="24"/>
          <w:lang w:val="en-US" w:eastAsia="en-US"/>
        </w:rPr>
        <w:t>bis</w:t>
      </w:r>
      <w:r w:rsidR="00A9335C" w:rsidRPr="001F1128">
        <w:rPr>
          <w:rFonts w:eastAsia="MS Mincho" w:cs="Arial"/>
          <w:kern w:val="0"/>
          <w:sz w:val="24"/>
          <w:szCs w:val="24"/>
          <w:lang w:val="en-US" w:eastAsia="en-US"/>
        </w:rPr>
        <w:tab/>
      </w:r>
      <w:r w:rsidR="00F165EE">
        <w:rPr>
          <w:rFonts w:eastAsia="MS Mincho" w:cs="Arial"/>
          <w:kern w:val="0"/>
          <w:sz w:val="24"/>
          <w:szCs w:val="24"/>
          <w:lang w:val="en-US" w:eastAsia="en-US"/>
        </w:rPr>
        <w:t>R1-</w:t>
      </w:r>
      <w:r w:rsidR="00292366" w:rsidRPr="00292366">
        <w:t xml:space="preserve"> </w:t>
      </w:r>
      <w:r w:rsidR="00292366" w:rsidRPr="00292366">
        <w:rPr>
          <w:rFonts w:eastAsia="MS Mincho" w:cs="Arial"/>
          <w:kern w:val="0"/>
          <w:sz w:val="24"/>
          <w:szCs w:val="24"/>
          <w:lang w:val="en-US" w:eastAsia="en-US"/>
        </w:rPr>
        <w:t>171</w:t>
      </w:r>
      <w:r w:rsidR="002C51C6" w:rsidRPr="00AF0237">
        <w:rPr>
          <w:rFonts w:eastAsia="MS Mincho" w:cs="Arial"/>
          <w:kern w:val="0"/>
          <w:sz w:val="24"/>
          <w:szCs w:val="24"/>
          <w:lang w:val="en-US" w:eastAsia="en-US"/>
        </w:rPr>
        <w:t>7020</w:t>
      </w:r>
    </w:p>
    <w:p w14:paraId="0D62D7B0" w14:textId="77777777" w:rsidR="00D22012" w:rsidRDefault="00D22012" w:rsidP="00FB5A6A">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Prague, Czech Republic</w:t>
      </w:r>
    </w:p>
    <w:p w14:paraId="3CDAFA8C" w14:textId="164A2710" w:rsidR="00D0025C" w:rsidRPr="00D0025C" w:rsidRDefault="00C94FDA" w:rsidP="00FB5A6A">
      <w:pPr>
        <w:pStyle w:val="3GPPHeader"/>
        <w:spacing w:after="120"/>
        <w:jc w:val="both"/>
        <w:rPr>
          <w:rFonts w:ascii="Arial" w:hAnsi="Arial" w:cs="Arial"/>
          <w:sz w:val="22"/>
        </w:rPr>
      </w:pPr>
      <w:r w:rsidRPr="00C94FDA">
        <w:rPr>
          <w:rFonts w:ascii="Arial" w:hAnsi="Arial" w:cs="Arial"/>
          <w:lang w:val="en-GB" w:eastAsia="en-US"/>
        </w:rPr>
        <w:t>9th – 13th Oct 2017</w:t>
      </w:r>
    </w:p>
    <w:p w14:paraId="30EC67F9" w14:textId="11BB4703" w:rsidR="005F41BA" w:rsidRDefault="00D0025C" w:rsidP="00FB5A6A">
      <w:pPr>
        <w:pStyle w:val="3GPPHeader"/>
        <w:spacing w:after="120"/>
        <w:jc w:val="both"/>
        <w:rPr>
          <w:rFonts w:ascii="Arial" w:hAnsi="Arial" w:cs="Arial"/>
          <w:b w:val="0"/>
        </w:rPr>
      </w:pPr>
      <w:r w:rsidRPr="00D0025C">
        <w:rPr>
          <w:rFonts w:ascii="Arial" w:hAnsi="Arial" w:cs="Arial"/>
          <w:sz w:val="22"/>
        </w:rPr>
        <w:t>Agenda Item:</w:t>
      </w:r>
      <w:r w:rsidRPr="00D0025C">
        <w:rPr>
          <w:rFonts w:ascii="Arial" w:hAnsi="Arial" w:cs="Arial"/>
          <w:sz w:val="22"/>
        </w:rPr>
        <w:tab/>
      </w:r>
      <w:r w:rsidR="002C51C6" w:rsidRPr="00AF0237">
        <w:rPr>
          <w:rFonts w:ascii="Arial" w:hAnsi="Arial" w:cs="Arial"/>
          <w:b w:val="0"/>
          <w:bCs/>
        </w:rPr>
        <w:t>6</w:t>
      </w:r>
      <w:r w:rsidR="00532ABE" w:rsidRPr="00AF0237">
        <w:rPr>
          <w:rFonts w:ascii="Arial" w:hAnsi="Arial" w:cs="Arial"/>
          <w:b w:val="0"/>
          <w:bCs/>
        </w:rPr>
        <w:t>.2.</w:t>
      </w:r>
      <w:r w:rsidR="002C51C6" w:rsidRPr="00AF0237">
        <w:rPr>
          <w:rFonts w:ascii="Arial" w:hAnsi="Arial" w:cs="Arial"/>
          <w:b w:val="0"/>
          <w:bCs/>
        </w:rPr>
        <w:t>6</w:t>
      </w:r>
      <w:r w:rsidR="005F41BA">
        <w:rPr>
          <w:rFonts w:ascii="Arial" w:hAnsi="Arial" w:cs="Arial"/>
          <w:b w:val="0"/>
          <w:bCs/>
        </w:rPr>
        <w:t>.</w:t>
      </w:r>
      <w:bookmarkStart w:id="0" w:name="_GoBack"/>
      <w:bookmarkEnd w:id="0"/>
      <w:r w:rsidR="002C51C6" w:rsidRPr="003E13B4">
        <w:rPr>
          <w:rFonts w:ascii="Arial" w:hAnsi="Arial" w:cs="Arial"/>
          <w:b w:val="0"/>
        </w:rPr>
        <w:t>2.2</w:t>
      </w:r>
    </w:p>
    <w:p w14:paraId="73AF1B1A" w14:textId="11276F7A" w:rsidR="00D0025C" w:rsidRPr="00D0025C" w:rsidRDefault="00D0025C" w:rsidP="00FB5A6A">
      <w:pPr>
        <w:pStyle w:val="3GPPHeader"/>
        <w:spacing w:after="120"/>
        <w:jc w:val="both"/>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6FE7B4FD" w:rsidR="00D0025C" w:rsidRPr="00D0025C" w:rsidRDefault="00D0025C" w:rsidP="00FB5A6A">
      <w:pPr>
        <w:pStyle w:val="3GPPHeader"/>
        <w:spacing w:after="120"/>
        <w:ind w:left="1701" w:hanging="1701"/>
        <w:jc w:val="both"/>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051840">
        <w:rPr>
          <w:rFonts w:ascii="Arial" w:hAnsi="Arial" w:cs="Arial"/>
          <w:b w:val="0"/>
          <w:bCs/>
          <w:sz w:val="22"/>
        </w:rPr>
        <w:t>On MIB-NB and SIB1-NB Acquisition Time R</w:t>
      </w:r>
      <w:r w:rsidR="00051840" w:rsidRPr="00051840">
        <w:rPr>
          <w:rFonts w:ascii="Arial" w:hAnsi="Arial" w:cs="Arial"/>
          <w:b w:val="0"/>
          <w:bCs/>
          <w:sz w:val="22"/>
        </w:rPr>
        <w:t>eduction</w:t>
      </w:r>
    </w:p>
    <w:p w14:paraId="3286F7EB" w14:textId="77777777" w:rsidR="00D0025C" w:rsidRPr="001C1703" w:rsidRDefault="00D0025C" w:rsidP="00FB5A6A">
      <w:pPr>
        <w:pStyle w:val="3GPPHeader"/>
        <w:jc w:val="both"/>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FB5A6A">
      <w:pPr>
        <w:pStyle w:val="Heading1"/>
        <w:jc w:val="both"/>
      </w:pPr>
      <w:bookmarkStart w:id="1" w:name="_Ref409106980"/>
      <w:r w:rsidRPr="00040C32">
        <w:t>Introduction</w:t>
      </w:r>
      <w:bookmarkStart w:id="2" w:name="_Ref465843822"/>
      <w:bookmarkEnd w:id="1"/>
    </w:p>
    <w:p w14:paraId="6A174D0C" w14:textId="718D2768" w:rsidR="00CA5DB9" w:rsidRDefault="00514643" w:rsidP="00FB5A6A">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DB7A42">
        <w:t>[1]</w:t>
      </w:r>
      <w:r>
        <w:fldChar w:fldCharType="end"/>
      </w:r>
      <w:r>
        <w:t xml:space="preserve">. </w:t>
      </w:r>
      <w:r>
        <w:rPr>
          <w:rFonts w:cs="Arial"/>
        </w:rPr>
        <w:t xml:space="preserve">By </w:t>
      </w:r>
      <w:r w:rsidR="000A1844">
        <w:t xml:space="preserve">reducing system acquisition time, </w:t>
      </w:r>
      <w:r w:rsidR="005A73F9">
        <w:rPr>
          <w:rFonts w:cs="Arial"/>
        </w:rPr>
        <w:t>latency</w:t>
      </w:r>
      <w:r>
        <w:rPr>
          <w:rFonts w:cs="Arial"/>
        </w:rPr>
        <w:t xml:space="preserve"> and </w:t>
      </w:r>
      <w:r w:rsidR="00051840">
        <w:rPr>
          <w:rFonts w:cs="Arial"/>
        </w:rPr>
        <w:t xml:space="preserve">energy </w:t>
      </w:r>
      <w:r w:rsidR="000A1844">
        <w:rPr>
          <w:rFonts w:cs="Arial"/>
        </w:rPr>
        <w:t>efficiency of</w:t>
      </w:r>
      <w:r>
        <w:rPr>
          <w:rFonts w:cs="Arial"/>
        </w:rPr>
        <w:t xml:space="preserve"> NB-IoT </w:t>
      </w:r>
      <w:r w:rsidR="000A1844">
        <w:rPr>
          <w:rFonts w:cs="Arial"/>
        </w:rPr>
        <w:t>can be further improved</w:t>
      </w:r>
      <w:r>
        <w:rPr>
          <w:rFonts w:cs="Arial"/>
        </w:rPr>
        <w:t xml:space="preserve">. </w:t>
      </w:r>
      <w:r w:rsidR="00CA5DB9">
        <w:rPr>
          <w:rFonts w:cs="Arial"/>
        </w:rPr>
        <w:t>The system acquisition procedure in NB-IoT includes acquiring MIB-NB and SIB1-NB.</w:t>
      </w:r>
    </w:p>
    <w:p w14:paraId="7B74705F" w14:textId="77777777" w:rsidR="00A929E6" w:rsidRDefault="002B53A1" w:rsidP="00FB5A6A">
      <w:pPr>
        <w:jc w:val="both"/>
        <w:rPr>
          <w:rFonts w:cs="Arial"/>
        </w:rPr>
      </w:pPr>
      <w:r>
        <w:rPr>
          <w:rFonts w:cs="Arial"/>
        </w:rPr>
        <w:t>R</w:t>
      </w:r>
      <w:r w:rsidR="00A11925">
        <w:rPr>
          <w:rFonts w:cs="Arial"/>
        </w:rPr>
        <w:t xml:space="preserve">egarding </w:t>
      </w:r>
      <w:r w:rsidR="0063003B" w:rsidRPr="008C5ADE">
        <w:rPr>
          <w:iCs/>
          <w:szCs w:val="20"/>
        </w:rPr>
        <w:t>MIB-NB acquisition time</w:t>
      </w:r>
      <w:r w:rsidR="0063003B">
        <w:rPr>
          <w:iCs/>
          <w:szCs w:val="20"/>
        </w:rPr>
        <w:t xml:space="preserve"> reduction, </w:t>
      </w:r>
      <w:r w:rsidR="0063003B">
        <w:rPr>
          <w:rFonts w:cs="Arial"/>
        </w:rPr>
        <w:t>the way-forward below was agreed</w:t>
      </w:r>
      <w:r w:rsidRPr="002B53A1">
        <w:rPr>
          <w:rFonts w:cs="Arial"/>
        </w:rPr>
        <w:t xml:space="preserve"> </w:t>
      </w:r>
      <w:r>
        <w:rPr>
          <w:rFonts w:cs="Arial"/>
        </w:rPr>
        <w:t>in RAN1#90</w:t>
      </w:r>
      <w:r w:rsidR="0063003B">
        <w:rPr>
          <w:rFonts w:cs="Arial"/>
        </w:rPr>
        <w:t>.</w:t>
      </w:r>
    </w:p>
    <w:p w14:paraId="628884B1" w14:textId="77777777" w:rsidR="00A929E6" w:rsidRPr="00A929E6" w:rsidRDefault="0063003B" w:rsidP="00FB5A6A">
      <w:pPr>
        <w:pStyle w:val="ListParagraph"/>
        <w:numPr>
          <w:ilvl w:val="0"/>
          <w:numId w:val="12"/>
        </w:numPr>
        <w:rPr>
          <w:rFonts w:eastAsia="MS Mincho" w:cs="Arial"/>
          <w:szCs w:val="24"/>
        </w:rPr>
      </w:pPr>
      <w:r w:rsidRPr="00A929E6">
        <w:rPr>
          <w:rFonts w:eastAsia="MS Mincho"/>
          <w:iCs/>
        </w:rPr>
        <w:t>For enhancement of MIB-NB acquisition time, the following candidates are considered:</w:t>
      </w:r>
    </w:p>
    <w:p w14:paraId="4640FEB8" w14:textId="7A950A2B" w:rsidR="00A929E6" w:rsidRPr="00A929E6" w:rsidRDefault="00A929E6" w:rsidP="00FB5A6A">
      <w:pPr>
        <w:pStyle w:val="ListParagraph"/>
        <w:numPr>
          <w:ilvl w:val="1"/>
          <w:numId w:val="12"/>
        </w:numPr>
        <w:rPr>
          <w:rFonts w:eastAsia="MS Mincho" w:cs="Arial"/>
          <w:szCs w:val="24"/>
        </w:rPr>
      </w:pPr>
      <w:r>
        <w:rPr>
          <w:rFonts w:eastAsia="MS Mincho"/>
          <w:iCs/>
          <w:lang w:eastAsia="ja-JP"/>
        </w:rPr>
        <w:t>Option</w:t>
      </w:r>
      <w:r w:rsidR="0063003B" w:rsidRPr="00A929E6">
        <w:rPr>
          <w:rFonts w:eastAsia="MS Mincho"/>
          <w:iCs/>
          <w:lang w:eastAsia="ja-JP"/>
        </w:rPr>
        <w:t xml:space="preserve"> 1: Using the unused 3-OFDM symbols in subframe#0 on the anchor carrier in standalone and guard-band operation modes</w:t>
      </w:r>
    </w:p>
    <w:p w14:paraId="2522DA5D" w14:textId="14ABE948" w:rsidR="00A929E6" w:rsidRPr="00A929E6" w:rsidRDefault="00A929E6" w:rsidP="00FB5A6A">
      <w:pPr>
        <w:pStyle w:val="ListParagraph"/>
        <w:numPr>
          <w:ilvl w:val="1"/>
          <w:numId w:val="12"/>
        </w:numPr>
        <w:rPr>
          <w:rFonts w:eastAsia="MS Mincho" w:cs="Arial"/>
          <w:szCs w:val="24"/>
        </w:rPr>
      </w:pPr>
      <w:r>
        <w:rPr>
          <w:rFonts w:eastAsia="MS Mincho"/>
          <w:iCs/>
          <w:lang w:eastAsia="ja-JP"/>
        </w:rPr>
        <w:t>Option</w:t>
      </w:r>
      <w:r w:rsidR="0063003B" w:rsidRPr="00A929E6">
        <w:rPr>
          <w:rFonts w:eastAsia="MS Mincho"/>
          <w:iCs/>
          <w:lang w:eastAsia="ja-JP"/>
        </w:rPr>
        <w:t xml:space="preserve"> 2: Introducing additional subframe(s) for NPBCH transmission, FFS if there is a possible restriction to non-anchor carriers</w:t>
      </w:r>
    </w:p>
    <w:p w14:paraId="3CE61AB8" w14:textId="0EF7E64A" w:rsidR="002B53A1" w:rsidRPr="00A929E6" w:rsidRDefault="0063003B" w:rsidP="00FB5A6A">
      <w:pPr>
        <w:pStyle w:val="ListParagraph"/>
        <w:numPr>
          <w:ilvl w:val="1"/>
          <w:numId w:val="12"/>
        </w:numPr>
        <w:rPr>
          <w:rFonts w:eastAsia="MS Mincho" w:cs="Arial"/>
          <w:szCs w:val="24"/>
        </w:rPr>
      </w:pPr>
      <w:r w:rsidRPr="00A929E6">
        <w:rPr>
          <w:rFonts w:eastAsia="MS Mincho"/>
          <w:iCs/>
          <w:lang w:eastAsia="ja-JP"/>
        </w:rPr>
        <w:t xml:space="preserve">Option 3: </w:t>
      </w:r>
      <w:r w:rsidRPr="00A929E6">
        <w:rPr>
          <w:rFonts w:eastAsia="MS Mincho"/>
          <w:iCs/>
          <w:lang w:val="en-US" w:eastAsia="ja-JP"/>
        </w:rPr>
        <w:t xml:space="preserve">Enhanced MIB-NB decoding techniques, e.g. combining the NPBCH across several MIB-NB TTIs. </w:t>
      </w:r>
    </w:p>
    <w:p w14:paraId="383615C7" w14:textId="321594FC" w:rsidR="002B53A1" w:rsidRPr="002B53A1" w:rsidRDefault="002B53A1" w:rsidP="00FB5A6A">
      <w:pPr>
        <w:jc w:val="both"/>
        <w:rPr>
          <w:iCs/>
        </w:rPr>
      </w:pPr>
      <w:r w:rsidRPr="002B53A1">
        <w:rPr>
          <w:iCs/>
        </w:rPr>
        <w:t xml:space="preserve">Regarding </w:t>
      </w:r>
      <w:r>
        <w:rPr>
          <w:iCs/>
          <w:szCs w:val="20"/>
        </w:rPr>
        <w:t>S</w:t>
      </w:r>
      <w:r w:rsidRPr="002B53A1">
        <w:rPr>
          <w:iCs/>
          <w:szCs w:val="20"/>
        </w:rPr>
        <w:t>IB</w:t>
      </w:r>
      <w:r>
        <w:rPr>
          <w:iCs/>
          <w:szCs w:val="20"/>
        </w:rPr>
        <w:t>1</w:t>
      </w:r>
      <w:r w:rsidRPr="002B53A1">
        <w:rPr>
          <w:iCs/>
          <w:szCs w:val="20"/>
        </w:rPr>
        <w:t xml:space="preserve">-NB acquisition time reduction, </w:t>
      </w:r>
      <w:r w:rsidRPr="002B53A1">
        <w:rPr>
          <w:iCs/>
        </w:rPr>
        <w:t>the way-forward below was agreed in RAN1#90.</w:t>
      </w:r>
    </w:p>
    <w:p w14:paraId="5B822D38" w14:textId="77777777" w:rsidR="00A929E6" w:rsidRPr="008C5ADE" w:rsidRDefault="00A929E6" w:rsidP="00FB5A6A">
      <w:pPr>
        <w:pStyle w:val="ListParagraph"/>
        <w:numPr>
          <w:ilvl w:val="0"/>
          <w:numId w:val="12"/>
        </w:numPr>
        <w:rPr>
          <w:rFonts w:eastAsia="MS Mincho"/>
          <w:iCs/>
        </w:rPr>
      </w:pPr>
      <w:r w:rsidRPr="008C5ADE">
        <w:rPr>
          <w:rFonts w:eastAsia="MS Mincho"/>
          <w:iCs/>
        </w:rPr>
        <w:t>At least the following issues are FFS regarding whether to introduce support for the network to optionally transmit additional repetitions(s) of SIB1-NB, in subframe(s) other than R13 existing SIB1-NB transmission subframes:</w:t>
      </w:r>
    </w:p>
    <w:p w14:paraId="2C0DAAF7" w14:textId="77777777" w:rsidR="00A929E6" w:rsidRPr="008C5ADE" w:rsidRDefault="00A929E6" w:rsidP="00FB5A6A">
      <w:pPr>
        <w:pStyle w:val="ListParagraph"/>
        <w:numPr>
          <w:ilvl w:val="1"/>
          <w:numId w:val="12"/>
        </w:numPr>
        <w:rPr>
          <w:rFonts w:eastAsia="MS Mincho"/>
          <w:iCs/>
        </w:rPr>
      </w:pPr>
      <w:r w:rsidRPr="008C5ADE">
        <w:rPr>
          <w:rFonts w:eastAsia="MS Mincho"/>
          <w:iCs/>
        </w:rPr>
        <w:t>The position of the subframe(s) for additional Rel-13 SIB1-NB repetitions</w:t>
      </w:r>
    </w:p>
    <w:p w14:paraId="2364959B" w14:textId="77777777" w:rsidR="00A929E6" w:rsidRPr="008C5ADE" w:rsidRDefault="00A929E6" w:rsidP="00FB5A6A">
      <w:pPr>
        <w:pStyle w:val="ListParagraph"/>
        <w:numPr>
          <w:ilvl w:val="1"/>
          <w:numId w:val="12"/>
        </w:numPr>
        <w:rPr>
          <w:rFonts w:eastAsia="MS Mincho"/>
          <w:iCs/>
        </w:rPr>
      </w:pPr>
      <w:r w:rsidRPr="008C5ADE">
        <w:rPr>
          <w:rFonts w:eastAsia="MS Mincho"/>
          <w:iCs/>
        </w:rPr>
        <w:t>The scrambling on the new additional repetitions of SIB1</w:t>
      </w:r>
    </w:p>
    <w:p w14:paraId="64CC26E9" w14:textId="77777777" w:rsidR="00A929E6" w:rsidRPr="008C5ADE" w:rsidRDefault="00A929E6" w:rsidP="00FB5A6A">
      <w:pPr>
        <w:pStyle w:val="ListParagraph"/>
        <w:numPr>
          <w:ilvl w:val="1"/>
          <w:numId w:val="12"/>
        </w:numPr>
        <w:rPr>
          <w:rFonts w:eastAsia="MS Mincho"/>
          <w:iCs/>
        </w:rPr>
      </w:pPr>
      <w:r w:rsidRPr="008C5ADE">
        <w:rPr>
          <w:rFonts w:eastAsia="MS Mincho"/>
          <w:iCs/>
        </w:rPr>
        <w:t xml:space="preserve">The pattern of mapping to resource elements for the additional repetition(s) (e.g., </w:t>
      </w:r>
      <w:r w:rsidRPr="00A929E6">
        <w:rPr>
          <w:rFonts w:eastAsia="MS Mincho"/>
          <w:iCs/>
        </w:rPr>
        <w:t>order of coded bits-to-subframe allocation)</w:t>
      </w:r>
    </w:p>
    <w:p w14:paraId="06FD9D0D" w14:textId="77777777" w:rsidR="00A929E6" w:rsidRPr="008C5ADE" w:rsidRDefault="00A929E6" w:rsidP="00FB5A6A">
      <w:pPr>
        <w:pStyle w:val="ListParagraph"/>
        <w:numPr>
          <w:ilvl w:val="1"/>
          <w:numId w:val="12"/>
        </w:numPr>
        <w:rPr>
          <w:rFonts w:eastAsia="MS Mincho"/>
          <w:iCs/>
        </w:rPr>
      </w:pPr>
      <w:r w:rsidRPr="008C5ADE">
        <w:rPr>
          <w:rFonts w:eastAsia="MS Mincho"/>
          <w:iCs/>
        </w:rPr>
        <w:t>If a SIB1-NB with additional subframe(s) can be transmitted on a non-anchor</w:t>
      </w:r>
    </w:p>
    <w:p w14:paraId="4A7EBE7C" w14:textId="77777777" w:rsidR="00A929E6" w:rsidRPr="008C5ADE" w:rsidRDefault="00A929E6" w:rsidP="00FB5A6A">
      <w:pPr>
        <w:pStyle w:val="ListParagraph"/>
        <w:numPr>
          <w:ilvl w:val="1"/>
          <w:numId w:val="12"/>
        </w:numPr>
        <w:rPr>
          <w:rFonts w:eastAsia="MS Mincho"/>
          <w:iCs/>
        </w:rPr>
      </w:pPr>
      <w:r w:rsidRPr="008C5ADE">
        <w:rPr>
          <w:rFonts w:eastAsia="MS Mincho"/>
          <w:iCs/>
        </w:rPr>
        <w:t>How the UE determines if the additional subframe(s) are being transmitted</w:t>
      </w:r>
    </w:p>
    <w:p w14:paraId="7B5E6ED0" w14:textId="77777777" w:rsidR="00A929E6" w:rsidRPr="008C5ADE" w:rsidRDefault="00A929E6" w:rsidP="00FB5A6A">
      <w:pPr>
        <w:pStyle w:val="ListParagraph"/>
        <w:numPr>
          <w:ilvl w:val="1"/>
          <w:numId w:val="12"/>
        </w:numPr>
        <w:rPr>
          <w:rFonts w:eastAsia="MS Mincho"/>
          <w:iCs/>
        </w:rPr>
      </w:pPr>
      <w:r w:rsidRPr="008C5ADE">
        <w:rPr>
          <w:rFonts w:eastAsia="MS Mincho"/>
          <w:iCs/>
        </w:rPr>
        <w:t>The number of additional subframe(s)</w:t>
      </w:r>
    </w:p>
    <w:p w14:paraId="70CE249C" w14:textId="77777777" w:rsidR="00A929E6" w:rsidRPr="008C5ADE" w:rsidRDefault="00A929E6" w:rsidP="00FB5A6A">
      <w:pPr>
        <w:pStyle w:val="ListParagraph"/>
        <w:numPr>
          <w:ilvl w:val="1"/>
          <w:numId w:val="12"/>
        </w:numPr>
        <w:rPr>
          <w:rFonts w:eastAsia="MS Mincho"/>
          <w:iCs/>
        </w:rPr>
      </w:pPr>
      <w:r w:rsidRPr="008C5ADE">
        <w:rPr>
          <w:rFonts w:eastAsia="MS Mincho"/>
          <w:iCs/>
        </w:rPr>
        <w:t>How to handle correct understanding of NPDCCH/NPDSCH transmission for legacy NB-IoT UEs.</w:t>
      </w:r>
    </w:p>
    <w:p w14:paraId="394E39F8" w14:textId="39C70EE7" w:rsidR="00E835D2" w:rsidRDefault="0073097D" w:rsidP="00FB5A6A">
      <w:pPr>
        <w:jc w:val="both"/>
        <w:rPr>
          <w:rFonts w:cs="Arial"/>
        </w:rPr>
      </w:pPr>
      <w:r>
        <w:rPr>
          <w:rFonts w:cs="Arial"/>
        </w:rPr>
        <w:t>In this contribution, we discuss the remaining issues.</w:t>
      </w:r>
      <w:bookmarkEnd w:id="2"/>
    </w:p>
    <w:p w14:paraId="46A1E8DD" w14:textId="2A52FDA8" w:rsidR="00E835D2" w:rsidRDefault="00A02DFD" w:rsidP="00FB5A6A">
      <w:pPr>
        <w:pStyle w:val="Heading1"/>
        <w:jc w:val="both"/>
      </w:pPr>
      <w:r>
        <w:t>MIB-NB acquisition</w:t>
      </w:r>
    </w:p>
    <w:p w14:paraId="30A35433" w14:textId="77777777" w:rsidR="00F015E7" w:rsidRDefault="00F015E7" w:rsidP="00FB5A6A">
      <w:pPr>
        <w:pStyle w:val="Heading2"/>
        <w:jc w:val="both"/>
      </w:pPr>
      <w:r>
        <w:t xml:space="preserve">Option 1: </w:t>
      </w:r>
      <w:r w:rsidRPr="00F015E7">
        <w:t>Using the unused 3-OFDM symbols in subframe#0 on the anchor carrier in standalone and guard-band operation modes</w:t>
      </w:r>
    </w:p>
    <w:p w14:paraId="647B6FDC" w14:textId="279AC503" w:rsidR="00786446" w:rsidRDefault="00786446" w:rsidP="00FB5A6A">
      <w:pPr>
        <w:jc w:val="both"/>
      </w:pPr>
      <w:r>
        <w:t>In Rel-13/14, the resource mapping in an NPBCH subframe is illustrated in Figure 1.</w:t>
      </w:r>
      <w:r w:rsidR="00275CF9">
        <w:t xml:space="preserve"> As shown, the first 3 OFDM symbols are not used. In the standalone and guard-band operation modes, there is no potential conflict with LTE control region</w:t>
      </w:r>
      <w:r w:rsidR="00721023">
        <w:t>.</w:t>
      </w:r>
      <w:r w:rsidR="00275CF9">
        <w:t xml:space="preserve"> </w:t>
      </w:r>
      <w:r w:rsidR="00721023">
        <w:t>T</w:t>
      </w:r>
      <w:r w:rsidR="00275CF9">
        <w:t>hus</w:t>
      </w:r>
      <w:r w:rsidR="00721023">
        <w:t>,</w:t>
      </w:r>
      <w:r w:rsidR="00275CF9">
        <w:t xml:space="preserve"> these three OFDM symbols may be used for mapping the NPBCH symbols.</w:t>
      </w:r>
    </w:p>
    <w:p w14:paraId="1021BC1F" w14:textId="438B63BB" w:rsidR="00786446" w:rsidRDefault="00E76FEB" w:rsidP="00FB5A6A">
      <w:pPr>
        <w:jc w:val="both"/>
      </w:pPr>
      <w:r w:rsidRPr="00E76FEB">
        <w:rPr>
          <w:noProof/>
          <w:lang w:eastAsia="zh-TW"/>
        </w:rPr>
        <w:lastRenderedPageBreak/>
        <w:drawing>
          <wp:inline distT="0" distB="0" distL="0" distR="0" wp14:anchorId="3E8123E9" wp14:editId="47BC9420">
            <wp:extent cx="3579549" cy="221896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0735" cy="2219697"/>
                    </a:xfrm>
                    <a:prstGeom prst="rect">
                      <a:avLst/>
                    </a:prstGeom>
                    <a:noFill/>
                    <a:ln>
                      <a:noFill/>
                    </a:ln>
                  </pic:spPr>
                </pic:pic>
              </a:graphicData>
            </a:graphic>
          </wp:inline>
        </w:drawing>
      </w:r>
      <w:r>
        <w:t xml:space="preserve">     </w:t>
      </w:r>
      <w:r w:rsidRPr="00E76FEB">
        <w:rPr>
          <w:noProof/>
          <w:lang w:eastAsia="zh-TW"/>
        </w:rPr>
        <w:drawing>
          <wp:inline distT="0" distB="0" distL="0" distR="0" wp14:anchorId="7C0F7FDC" wp14:editId="4B0C254F">
            <wp:extent cx="801478" cy="6523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307" cy="653868"/>
                    </a:xfrm>
                    <a:prstGeom prst="rect">
                      <a:avLst/>
                    </a:prstGeom>
                    <a:noFill/>
                    <a:ln>
                      <a:noFill/>
                    </a:ln>
                  </pic:spPr>
                </pic:pic>
              </a:graphicData>
            </a:graphic>
          </wp:inline>
        </w:drawing>
      </w:r>
    </w:p>
    <w:p w14:paraId="557DC5B0" w14:textId="4D6F0C4B" w:rsidR="00E76FEB" w:rsidRDefault="00E76FEB" w:rsidP="00FB5A6A">
      <w:pPr>
        <w:pStyle w:val="Caption"/>
        <w:jc w:val="both"/>
      </w:pPr>
      <w:r>
        <w:t xml:space="preserve">Figure </w:t>
      </w:r>
      <w:r w:rsidR="00004012">
        <w:fldChar w:fldCharType="begin"/>
      </w:r>
      <w:r w:rsidR="00004012">
        <w:instrText xml:space="preserve"> SEQ Figure \* ARABIC </w:instrText>
      </w:r>
      <w:r w:rsidR="00004012">
        <w:fldChar w:fldCharType="separate"/>
      </w:r>
      <w:r w:rsidR="00943C94">
        <w:rPr>
          <w:noProof/>
        </w:rPr>
        <w:t>1</w:t>
      </w:r>
      <w:r w:rsidR="00004012">
        <w:rPr>
          <w:noProof/>
        </w:rPr>
        <w:fldChar w:fldCharType="end"/>
      </w:r>
      <w:r>
        <w:t>: Resource mapping in an NPBCH subframe according to Rel-13/14.</w:t>
      </w:r>
    </w:p>
    <w:p w14:paraId="4F37B201" w14:textId="41F4E62D" w:rsidR="00E76FEB" w:rsidRDefault="00E76FEB" w:rsidP="00FB5A6A">
      <w:pPr>
        <w:jc w:val="both"/>
      </w:pPr>
    </w:p>
    <w:p w14:paraId="6EBFBD30" w14:textId="12B5E53B" w:rsidR="00DA764E" w:rsidRDefault="00275CF9" w:rsidP="00FB5A6A">
      <w:pPr>
        <w:jc w:val="both"/>
      </w:pPr>
      <w:r>
        <w:t>To reduce implementation efforts, we propose 3 of the OFDM symbols carrying NPBCH</w:t>
      </w:r>
      <w:r w:rsidR="00DA764E">
        <w:t xml:space="preserve"> in an NPBCH subframe</w:t>
      </w:r>
      <w:r>
        <w:t xml:space="preserve"> are repeated </w:t>
      </w:r>
      <w:r w:rsidR="00DA764E">
        <w:t>in the first 3 OFDM symbols of the NPBCH subframe. First, OFDM symbols #4, #7, #8, and #11 can be ruled out as these symbols include unused resource elements. One option is to repeat OFDM symbols #3, #9, and #10 in OFDM symbols #0, #1, and #2, respectively. These OFDM symbols are the only ones in an NPBCH subframe carrying 12 NPBCH data symbols.</w:t>
      </w:r>
      <w:r w:rsidR="00943C94">
        <w:t xml:space="preserve"> This option is illustrated in Figure 2.</w:t>
      </w:r>
    </w:p>
    <w:p w14:paraId="3520B494" w14:textId="7A12693C" w:rsidR="00DA764E" w:rsidRDefault="00517CD5" w:rsidP="00FB5A6A">
      <w:pPr>
        <w:jc w:val="both"/>
      </w:pPr>
      <w:r>
        <w:object w:dxaOrig="8211" w:dyaOrig="4483" w14:anchorId="3E2E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197.15pt" o:ole="">
            <v:imagedata r:id="rId10" o:title=""/>
          </v:shape>
          <o:OLEObject Type="Embed" ProgID="Visio.Drawing.15" ShapeID="_x0000_i1025" DrawAspect="Content" ObjectID="_1568102727" r:id="rId11"/>
        </w:object>
      </w:r>
    </w:p>
    <w:p w14:paraId="26DA9221" w14:textId="2562E22F" w:rsidR="00DA764E" w:rsidRDefault="00943C94" w:rsidP="00FB5A6A">
      <w:pPr>
        <w:pStyle w:val="Caption"/>
        <w:jc w:val="both"/>
      </w:pPr>
      <w:r>
        <w:t xml:space="preserve">Figure </w:t>
      </w:r>
      <w:r w:rsidR="00004012">
        <w:fldChar w:fldCharType="begin"/>
      </w:r>
      <w:r w:rsidR="00004012">
        <w:instrText xml:space="preserve"> SEQ Figure \* ARABIC </w:instrText>
      </w:r>
      <w:r w:rsidR="00004012">
        <w:fldChar w:fldCharType="separate"/>
      </w:r>
      <w:r>
        <w:rPr>
          <w:noProof/>
        </w:rPr>
        <w:t>2</w:t>
      </w:r>
      <w:r w:rsidR="00004012">
        <w:rPr>
          <w:noProof/>
        </w:rPr>
        <w:fldChar w:fldCharType="end"/>
      </w:r>
      <w:r>
        <w:t>: R</w:t>
      </w:r>
      <w:r w:rsidRPr="00943C94">
        <w:t>epeat OFDM symbols #3, #9, and #10 in OFDM symbols #0, #1, and #2, respectively.</w:t>
      </w:r>
    </w:p>
    <w:p w14:paraId="6C0472EE" w14:textId="3ABC2192" w:rsidR="00943C94" w:rsidRDefault="00943C94" w:rsidP="00FB5A6A">
      <w:pPr>
        <w:jc w:val="both"/>
      </w:pPr>
    </w:p>
    <w:p w14:paraId="5E60A6B8" w14:textId="0AB89053" w:rsidR="00943C94" w:rsidRDefault="00943C94" w:rsidP="00FB5A6A">
      <w:pPr>
        <w:jc w:val="both"/>
      </w:pPr>
      <w:r>
        <w:t>Another approach is repeat some of the OFDM symbols carrying NRS. For example, OFDM symbols #5 and #6 may be repeated as illustrated in Figure 3. This approach increases the number of NRS symbols and will improve the quality of channel estimate.</w:t>
      </w:r>
    </w:p>
    <w:p w14:paraId="668CCE1E" w14:textId="3CF65429" w:rsidR="00943C94" w:rsidRDefault="00517CD5" w:rsidP="00FB5A6A">
      <w:pPr>
        <w:jc w:val="both"/>
      </w:pPr>
      <w:r>
        <w:object w:dxaOrig="8092" w:dyaOrig="4483" w14:anchorId="54E21084">
          <v:shape id="_x0000_i1026" type="#_x0000_t75" style="width:357.85pt;height:198pt" o:ole="">
            <v:imagedata r:id="rId12" o:title=""/>
          </v:shape>
          <o:OLEObject Type="Embed" ProgID="Visio.Drawing.15" ShapeID="_x0000_i1026" DrawAspect="Content" ObjectID="_1568102728" r:id="rId13"/>
        </w:object>
      </w:r>
    </w:p>
    <w:p w14:paraId="45D079D3" w14:textId="096DAF18" w:rsidR="00943C94" w:rsidRPr="00943C94" w:rsidRDefault="00943C94" w:rsidP="00FB5A6A">
      <w:pPr>
        <w:pStyle w:val="Caption"/>
        <w:jc w:val="both"/>
      </w:pPr>
      <w:r>
        <w:t xml:space="preserve">Figure </w:t>
      </w:r>
      <w:r w:rsidR="00004012">
        <w:fldChar w:fldCharType="begin"/>
      </w:r>
      <w:r w:rsidR="00004012">
        <w:instrText xml:space="preserve"> SEQ Figure \* ARABIC </w:instrText>
      </w:r>
      <w:r w:rsidR="00004012">
        <w:fldChar w:fldCharType="separate"/>
      </w:r>
      <w:r>
        <w:rPr>
          <w:noProof/>
        </w:rPr>
        <w:t>3</w:t>
      </w:r>
      <w:r w:rsidR="00004012">
        <w:rPr>
          <w:noProof/>
        </w:rPr>
        <w:fldChar w:fldCharType="end"/>
      </w:r>
      <w:r>
        <w:t>: Repeat OFDM symbols #3, #5, and #6</w:t>
      </w:r>
      <w:r w:rsidRPr="00943C94">
        <w:t xml:space="preserve"> in OFDM symbols #0, #1, and #2, respectively.</w:t>
      </w:r>
    </w:p>
    <w:p w14:paraId="707F3D2F" w14:textId="70E9E3D6" w:rsidR="00786446" w:rsidRDefault="00786446" w:rsidP="00FB5A6A">
      <w:pPr>
        <w:jc w:val="both"/>
      </w:pPr>
    </w:p>
    <w:p w14:paraId="57D68EB6" w14:textId="219E6128" w:rsidR="008861D7" w:rsidRDefault="008861D7" w:rsidP="00FB5A6A">
      <w:pPr>
        <w:jc w:val="both"/>
      </w:pPr>
      <w:r>
        <w:t>An advantage of repeating the OFDM symbols is to allow the UE to perform</w:t>
      </w:r>
      <w:r w:rsidR="00A527C1">
        <w:t xml:space="preserve"> residual</w:t>
      </w:r>
      <w:r>
        <w:t xml:space="preserve"> frequency</w:t>
      </w:r>
      <w:r w:rsidR="00A527C1">
        <w:t xml:space="preserve"> offset</w:t>
      </w:r>
      <w:r>
        <w:t xml:space="preserve"> estimation using these repeated symbols. Additionally, the UE can also combine the repea</w:t>
      </w:r>
      <w:r w:rsidR="00A527C1">
        <w:t>ted symbols before demodulation</w:t>
      </w:r>
      <w:r w:rsidR="00EF0D90">
        <w:t>. Similarly, the NRS symbols can be combined before channel estimation.</w:t>
      </w:r>
    </w:p>
    <w:p w14:paraId="29757054" w14:textId="34CDDBF0" w:rsidR="008861D7" w:rsidRDefault="00A527C1" w:rsidP="00FB5A6A">
      <w:pPr>
        <w:jc w:val="both"/>
      </w:pPr>
      <w:r>
        <w:t>The scrambling mask on the additional data symbols can be repeated as that applied to the original data symbols that are repeated. Alternatively, scrambling mask for the additional symbols can be generated by extending the length of the current scrambling mask. Since the UE by the time of NPBCH decoding already achieves subframe synchronization, the scrambling mask can be removed upon receiving the NPBCH subframe. After removing the scrambling mask, the UE can take advantage of the repeated symbols for residual frequency offset or channel estimation, and for demodulation.</w:t>
      </w:r>
    </w:p>
    <w:p w14:paraId="5713BCED" w14:textId="77777777" w:rsidR="008861D7" w:rsidRDefault="008861D7" w:rsidP="00FB5A6A">
      <w:pPr>
        <w:jc w:val="both"/>
      </w:pPr>
    </w:p>
    <w:p w14:paraId="4CD9E0F6" w14:textId="01D51E0D" w:rsidR="00F015E7" w:rsidRPr="00F015E7" w:rsidRDefault="00F015E7" w:rsidP="00FB5A6A">
      <w:pPr>
        <w:pStyle w:val="Heading2"/>
        <w:jc w:val="both"/>
      </w:pPr>
      <w:r>
        <w:t xml:space="preserve"> Option 2: </w:t>
      </w:r>
      <w:r w:rsidRPr="00F015E7">
        <w:t>Introducing additional subframe(s) for NPBCH transmission</w:t>
      </w:r>
    </w:p>
    <w:p w14:paraId="4A7480A3" w14:textId="3E964CE5" w:rsidR="00BE0C91" w:rsidRPr="00BE0C91" w:rsidRDefault="00E273B3" w:rsidP="00FB5A6A">
      <w:pPr>
        <w:jc w:val="both"/>
      </w:pPr>
      <w:r>
        <w:t xml:space="preserve">In this option, it </w:t>
      </w:r>
      <w:r w:rsidR="00FB0F00">
        <w:t>is to introduce</w:t>
      </w:r>
      <w:r w:rsidR="00FB0F00" w:rsidRPr="00FB0F00">
        <w:t xml:space="preserve"> additional subframe(s) for NPBCH transmission</w:t>
      </w:r>
      <w:r w:rsidR="00FB0F00">
        <w:t>s. First</w:t>
      </w:r>
      <w:r w:rsidR="002C3EC8">
        <w:t>, it is important to recognize that f</w:t>
      </w:r>
      <w:r w:rsidR="00BE0C91">
        <w:t xml:space="preserve">or in-band deployment, the </w:t>
      </w:r>
      <w:r w:rsidR="00CD6908">
        <w:t xml:space="preserve">total overhead on a </w:t>
      </w:r>
      <w:r w:rsidR="00BE0C91" w:rsidRPr="00BE0C91">
        <w:t>Rel-13 NB-IoT anchor carrier</w:t>
      </w:r>
      <w:r w:rsidR="00CD6908">
        <w:t xml:space="preserve"> can be very high</w:t>
      </w:r>
      <w:r w:rsidR="00BE0C91" w:rsidRPr="00BE0C91">
        <w:t>,</w:t>
      </w:r>
      <w:r w:rsidR="00CD6908">
        <w:t xml:space="preserve"> as illustrated in </w:t>
      </w:r>
      <w:r w:rsidR="00E86724">
        <w:t xml:space="preserve">the example in </w:t>
      </w:r>
      <w:r w:rsidR="002C3EC8">
        <w:t>Tab</w:t>
      </w:r>
      <w:r w:rsidR="00FB0F00">
        <w:t>le 1</w:t>
      </w:r>
      <w:r w:rsidR="00CD6908">
        <w:t>. As seen,</w:t>
      </w:r>
      <w:r w:rsidR="00BE0C91" w:rsidRPr="00BE0C91">
        <w:t xml:space="preserve"> the percentage of resource elements available for NPDCCH/NPDSCH symbols, excluding those carrying SIB1-NB, may be as small as 42% in the worst-case scenario (in-band, 3 OFDM symbols for LTE PDCCH, and 4 CRS ports). Using more NPBCH </w:t>
      </w:r>
      <w:r w:rsidR="002C3EC8">
        <w:t>subframes</w:t>
      </w:r>
      <w:r w:rsidR="00BE0C91" w:rsidRPr="00BE0C91">
        <w:t xml:space="preserve"> will further reduce the percentage of resource elements available for NPDCCH/NPDSCH.</w:t>
      </w:r>
    </w:p>
    <w:p w14:paraId="7277D583" w14:textId="77777777" w:rsidR="00BE0C91" w:rsidRDefault="00BE0C91" w:rsidP="00FB5A6A">
      <w:pPr>
        <w:pStyle w:val="BodyText"/>
        <w:rPr>
          <w:rFonts w:eastAsia="MS Mincho"/>
          <w:lang w:val="en-US" w:eastAsia="ja-JP"/>
        </w:rPr>
      </w:pPr>
    </w:p>
    <w:p w14:paraId="7A46FCCB" w14:textId="343F68CD" w:rsidR="00BE0C91" w:rsidRPr="003D5A36" w:rsidRDefault="00BE0C91"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FB0F00">
        <w:rPr>
          <w:rFonts w:ascii="Times New Roman" w:eastAsia="MS Mincho" w:hAnsi="Times New Roman"/>
          <w:b/>
          <w:bCs/>
          <w:lang w:val="en-US" w:eastAsia="ja-JP"/>
        </w:rPr>
        <w:t>1</w:t>
      </w:r>
      <w:r w:rsidRPr="003D5A36">
        <w:rPr>
          <w:rFonts w:ascii="Times New Roman" w:eastAsia="MS Mincho" w:hAnsi="Times New Roman"/>
          <w:b/>
          <w:bCs/>
          <w:lang w:val="en-US" w:eastAsia="ja-JP"/>
        </w:rPr>
        <w:t>: Overheads and percentage of resource elements available to NPDSCH/NPDCCH on a Rel-13 anchor carrier. (in-band,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BE0C91" w:rsidRPr="00E273B3" w14:paraId="6B801B1A" w14:textId="77777777" w:rsidTr="00A256F8">
        <w:trPr>
          <w:trHeight w:val="290"/>
          <w:jc w:val="center"/>
        </w:trPr>
        <w:tc>
          <w:tcPr>
            <w:tcW w:w="5665" w:type="dxa"/>
            <w:shd w:val="clear" w:color="auto" w:fill="auto"/>
            <w:noWrap/>
            <w:vAlign w:val="bottom"/>
            <w:hideMark/>
          </w:tcPr>
          <w:p w14:paraId="105D01D8"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LTE</w:t>
            </w:r>
          </w:p>
        </w:tc>
        <w:tc>
          <w:tcPr>
            <w:tcW w:w="900" w:type="dxa"/>
            <w:shd w:val="clear" w:color="auto" w:fill="auto"/>
            <w:noWrap/>
            <w:vAlign w:val="bottom"/>
            <w:hideMark/>
          </w:tcPr>
          <w:p w14:paraId="5B1C65F4" w14:textId="77777777" w:rsidR="00BE0C91" w:rsidRPr="00FA3A2B" w:rsidRDefault="00BE0C91" w:rsidP="00FB5A6A">
            <w:pPr>
              <w:spacing w:after="0"/>
              <w:jc w:val="both"/>
              <w:rPr>
                <w:color w:val="000000"/>
                <w:szCs w:val="22"/>
                <w:lang w:eastAsia="zh-TW"/>
              </w:rPr>
            </w:pPr>
            <w:r w:rsidRPr="00FA3A2B">
              <w:rPr>
                <w:color w:val="000000"/>
                <w:szCs w:val="22"/>
                <w:lang w:eastAsia="zh-TW"/>
              </w:rPr>
              <w:t>31.0%</w:t>
            </w:r>
          </w:p>
        </w:tc>
      </w:tr>
      <w:tr w:rsidR="00BE0C91" w:rsidRPr="00E273B3" w14:paraId="5F0C2BDC" w14:textId="77777777" w:rsidTr="00A256F8">
        <w:trPr>
          <w:trHeight w:val="290"/>
          <w:jc w:val="center"/>
        </w:trPr>
        <w:tc>
          <w:tcPr>
            <w:tcW w:w="5665" w:type="dxa"/>
            <w:shd w:val="clear" w:color="auto" w:fill="auto"/>
            <w:noWrap/>
            <w:vAlign w:val="bottom"/>
            <w:hideMark/>
          </w:tcPr>
          <w:p w14:paraId="2C9CB001"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NPBCH</w:t>
            </w:r>
          </w:p>
        </w:tc>
        <w:tc>
          <w:tcPr>
            <w:tcW w:w="900" w:type="dxa"/>
            <w:shd w:val="clear" w:color="auto" w:fill="auto"/>
            <w:noWrap/>
            <w:vAlign w:val="bottom"/>
            <w:hideMark/>
          </w:tcPr>
          <w:p w14:paraId="1218DE13" w14:textId="77777777" w:rsidR="00BE0C91" w:rsidRPr="00FA3A2B" w:rsidRDefault="00BE0C91" w:rsidP="00FB5A6A">
            <w:pPr>
              <w:spacing w:after="0"/>
              <w:jc w:val="both"/>
              <w:rPr>
                <w:color w:val="000000"/>
                <w:szCs w:val="22"/>
                <w:lang w:eastAsia="zh-TW"/>
              </w:rPr>
            </w:pPr>
            <w:r w:rsidRPr="00FA3A2B">
              <w:rPr>
                <w:color w:val="000000"/>
                <w:szCs w:val="22"/>
                <w:lang w:eastAsia="zh-TW"/>
              </w:rPr>
              <w:t>6.0%</w:t>
            </w:r>
          </w:p>
        </w:tc>
      </w:tr>
      <w:tr w:rsidR="00BE0C91" w:rsidRPr="00E273B3" w14:paraId="2BC9BE01" w14:textId="77777777" w:rsidTr="00A256F8">
        <w:trPr>
          <w:trHeight w:val="290"/>
          <w:jc w:val="center"/>
        </w:trPr>
        <w:tc>
          <w:tcPr>
            <w:tcW w:w="5665" w:type="dxa"/>
            <w:shd w:val="clear" w:color="auto" w:fill="auto"/>
            <w:noWrap/>
            <w:vAlign w:val="bottom"/>
            <w:hideMark/>
          </w:tcPr>
          <w:p w14:paraId="70FB7029"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NPSS</w:t>
            </w:r>
          </w:p>
        </w:tc>
        <w:tc>
          <w:tcPr>
            <w:tcW w:w="900" w:type="dxa"/>
            <w:shd w:val="clear" w:color="auto" w:fill="auto"/>
            <w:noWrap/>
            <w:vAlign w:val="bottom"/>
            <w:hideMark/>
          </w:tcPr>
          <w:p w14:paraId="790ABB8B" w14:textId="77777777" w:rsidR="00BE0C91" w:rsidRPr="00FA3A2B" w:rsidRDefault="00BE0C91" w:rsidP="00FB5A6A">
            <w:pPr>
              <w:spacing w:after="0"/>
              <w:jc w:val="both"/>
              <w:rPr>
                <w:color w:val="000000"/>
                <w:szCs w:val="22"/>
                <w:lang w:eastAsia="zh-TW"/>
              </w:rPr>
            </w:pPr>
            <w:r w:rsidRPr="00FA3A2B">
              <w:rPr>
                <w:color w:val="000000"/>
                <w:szCs w:val="22"/>
                <w:lang w:eastAsia="zh-TW"/>
              </w:rPr>
              <w:t>6.9%</w:t>
            </w:r>
          </w:p>
        </w:tc>
      </w:tr>
      <w:tr w:rsidR="00BE0C91" w:rsidRPr="00E273B3" w14:paraId="762980B9" w14:textId="77777777" w:rsidTr="00A256F8">
        <w:trPr>
          <w:trHeight w:val="290"/>
          <w:jc w:val="center"/>
        </w:trPr>
        <w:tc>
          <w:tcPr>
            <w:tcW w:w="5665" w:type="dxa"/>
            <w:shd w:val="clear" w:color="auto" w:fill="auto"/>
            <w:noWrap/>
            <w:vAlign w:val="bottom"/>
            <w:hideMark/>
          </w:tcPr>
          <w:p w14:paraId="758B059A"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NSSS</w:t>
            </w:r>
          </w:p>
        </w:tc>
        <w:tc>
          <w:tcPr>
            <w:tcW w:w="900" w:type="dxa"/>
            <w:shd w:val="clear" w:color="auto" w:fill="auto"/>
            <w:noWrap/>
            <w:vAlign w:val="bottom"/>
            <w:hideMark/>
          </w:tcPr>
          <w:p w14:paraId="7162CB98" w14:textId="77777777" w:rsidR="00BE0C91" w:rsidRPr="00FA3A2B" w:rsidRDefault="00BE0C91" w:rsidP="00FB5A6A">
            <w:pPr>
              <w:spacing w:after="0"/>
              <w:jc w:val="both"/>
              <w:rPr>
                <w:color w:val="000000"/>
                <w:szCs w:val="22"/>
                <w:lang w:eastAsia="zh-TW"/>
              </w:rPr>
            </w:pPr>
            <w:r w:rsidRPr="00FA3A2B">
              <w:rPr>
                <w:color w:val="000000"/>
                <w:szCs w:val="22"/>
                <w:lang w:eastAsia="zh-TW"/>
              </w:rPr>
              <w:t>3.5%</w:t>
            </w:r>
          </w:p>
        </w:tc>
      </w:tr>
      <w:tr w:rsidR="00BE0C91" w:rsidRPr="00E273B3" w14:paraId="64A6B60F" w14:textId="77777777" w:rsidTr="00A256F8">
        <w:trPr>
          <w:trHeight w:val="290"/>
          <w:jc w:val="center"/>
        </w:trPr>
        <w:tc>
          <w:tcPr>
            <w:tcW w:w="5665" w:type="dxa"/>
            <w:shd w:val="clear" w:color="auto" w:fill="auto"/>
            <w:noWrap/>
            <w:vAlign w:val="bottom"/>
            <w:hideMark/>
          </w:tcPr>
          <w:p w14:paraId="313C38D0"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NRS</w:t>
            </w:r>
          </w:p>
        </w:tc>
        <w:tc>
          <w:tcPr>
            <w:tcW w:w="900" w:type="dxa"/>
            <w:shd w:val="clear" w:color="auto" w:fill="auto"/>
            <w:noWrap/>
            <w:vAlign w:val="bottom"/>
            <w:hideMark/>
          </w:tcPr>
          <w:p w14:paraId="6E5C43EC" w14:textId="77777777" w:rsidR="00BE0C91" w:rsidRPr="00FA3A2B" w:rsidRDefault="00BE0C91" w:rsidP="00FB5A6A">
            <w:pPr>
              <w:spacing w:after="0"/>
              <w:jc w:val="both"/>
              <w:rPr>
                <w:color w:val="000000"/>
                <w:szCs w:val="22"/>
                <w:lang w:eastAsia="zh-TW"/>
              </w:rPr>
            </w:pPr>
            <w:r w:rsidRPr="00FA3A2B">
              <w:rPr>
                <w:color w:val="000000"/>
                <w:szCs w:val="22"/>
                <w:lang w:eastAsia="zh-TW"/>
              </w:rPr>
              <w:t>8.1%</w:t>
            </w:r>
          </w:p>
        </w:tc>
      </w:tr>
      <w:tr w:rsidR="00BE0C91" w:rsidRPr="00E273B3" w14:paraId="7A9FCB1B" w14:textId="77777777" w:rsidTr="00A256F8">
        <w:trPr>
          <w:trHeight w:val="290"/>
          <w:jc w:val="center"/>
        </w:trPr>
        <w:tc>
          <w:tcPr>
            <w:tcW w:w="5665" w:type="dxa"/>
            <w:shd w:val="clear" w:color="auto" w:fill="auto"/>
            <w:noWrap/>
            <w:vAlign w:val="bottom"/>
            <w:hideMark/>
          </w:tcPr>
          <w:p w14:paraId="6AA34B11" w14:textId="77777777" w:rsidR="00BE0C91" w:rsidRPr="00FA3A2B" w:rsidRDefault="00BE0C91" w:rsidP="00FB5A6A">
            <w:pPr>
              <w:spacing w:after="0"/>
              <w:jc w:val="both"/>
              <w:rPr>
                <w:color w:val="000000"/>
                <w:szCs w:val="22"/>
                <w:lang w:eastAsia="zh-TW"/>
              </w:rPr>
            </w:pPr>
            <w:r w:rsidRPr="00FA3A2B">
              <w:rPr>
                <w:color w:val="000000"/>
                <w:szCs w:val="22"/>
                <w:lang w:eastAsia="zh-TW"/>
              </w:rPr>
              <w:t>SIB1-NB</w:t>
            </w:r>
          </w:p>
        </w:tc>
        <w:tc>
          <w:tcPr>
            <w:tcW w:w="900" w:type="dxa"/>
            <w:shd w:val="clear" w:color="auto" w:fill="auto"/>
            <w:noWrap/>
            <w:vAlign w:val="bottom"/>
            <w:hideMark/>
          </w:tcPr>
          <w:p w14:paraId="1583C16A" w14:textId="77777777" w:rsidR="00BE0C91" w:rsidRPr="00FA3A2B" w:rsidRDefault="00BE0C91" w:rsidP="00FB5A6A">
            <w:pPr>
              <w:spacing w:after="0"/>
              <w:jc w:val="both"/>
              <w:rPr>
                <w:color w:val="000000"/>
                <w:szCs w:val="22"/>
                <w:lang w:eastAsia="zh-TW"/>
              </w:rPr>
            </w:pPr>
            <w:r w:rsidRPr="00FA3A2B">
              <w:rPr>
                <w:color w:val="000000"/>
                <w:szCs w:val="22"/>
                <w:lang w:eastAsia="zh-TW"/>
              </w:rPr>
              <w:t>3.0%</w:t>
            </w:r>
          </w:p>
        </w:tc>
      </w:tr>
      <w:tr w:rsidR="00BE0C91" w:rsidRPr="00E273B3" w14:paraId="7AD17BCF" w14:textId="77777777" w:rsidTr="00A256F8">
        <w:trPr>
          <w:trHeight w:val="290"/>
          <w:jc w:val="center"/>
        </w:trPr>
        <w:tc>
          <w:tcPr>
            <w:tcW w:w="5665" w:type="dxa"/>
            <w:shd w:val="clear" w:color="auto" w:fill="auto"/>
            <w:noWrap/>
            <w:vAlign w:val="bottom"/>
            <w:hideMark/>
          </w:tcPr>
          <w:p w14:paraId="5F3FD593" w14:textId="77777777" w:rsidR="00BE0C91" w:rsidRPr="00FA3A2B" w:rsidRDefault="00BE0C91" w:rsidP="00FB5A6A">
            <w:pPr>
              <w:spacing w:after="0"/>
              <w:jc w:val="both"/>
              <w:rPr>
                <w:color w:val="000000"/>
                <w:szCs w:val="22"/>
                <w:lang w:eastAsia="zh-TW"/>
              </w:rPr>
            </w:pPr>
            <w:r w:rsidRPr="00FA3A2B">
              <w:rPr>
                <w:color w:val="000000"/>
                <w:szCs w:val="22"/>
                <w:lang w:eastAsia="zh-TW"/>
              </w:rPr>
              <w:t>total overhead</w:t>
            </w:r>
          </w:p>
        </w:tc>
        <w:tc>
          <w:tcPr>
            <w:tcW w:w="900" w:type="dxa"/>
            <w:shd w:val="clear" w:color="auto" w:fill="auto"/>
            <w:noWrap/>
            <w:vAlign w:val="bottom"/>
            <w:hideMark/>
          </w:tcPr>
          <w:p w14:paraId="2EF15187" w14:textId="77777777" w:rsidR="00BE0C91" w:rsidRPr="00FA3A2B" w:rsidRDefault="00BE0C91" w:rsidP="00FB5A6A">
            <w:pPr>
              <w:spacing w:after="0"/>
              <w:jc w:val="both"/>
              <w:rPr>
                <w:color w:val="000000"/>
                <w:szCs w:val="22"/>
                <w:lang w:eastAsia="zh-TW"/>
              </w:rPr>
            </w:pPr>
            <w:r w:rsidRPr="00FA3A2B">
              <w:rPr>
                <w:color w:val="000000"/>
                <w:szCs w:val="22"/>
                <w:lang w:eastAsia="zh-TW"/>
              </w:rPr>
              <w:t>58.3%</w:t>
            </w:r>
          </w:p>
        </w:tc>
      </w:tr>
      <w:tr w:rsidR="00BE0C91" w:rsidRPr="00E273B3" w14:paraId="03E0D477" w14:textId="77777777" w:rsidTr="00A256F8">
        <w:trPr>
          <w:trHeight w:val="290"/>
          <w:jc w:val="center"/>
        </w:trPr>
        <w:tc>
          <w:tcPr>
            <w:tcW w:w="5665" w:type="dxa"/>
            <w:shd w:val="clear" w:color="auto" w:fill="auto"/>
            <w:noWrap/>
            <w:vAlign w:val="bottom"/>
          </w:tcPr>
          <w:p w14:paraId="5187B740" w14:textId="77777777" w:rsidR="00BE0C91" w:rsidRPr="00FA3A2B" w:rsidRDefault="00BE0C91" w:rsidP="00FB5A6A">
            <w:pPr>
              <w:spacing w:after="0"/>
              <w:jc w:val="both"/>
              <w:rPr>
                <w:color w:val="000000"/>
                <w:szCs w:val="22"/>
                <w:lang w:eastAsia="zh-TW"/>
              </w:rPr>
            </w:pPr>
            <w:r w:rsidRPr="00FA3A2B">
              <w:rPr>
                <w:color w:val="000000"/>
                <w:szCs w:val="22"/>
                <w:lang w:eastAsia="zh-TW"/>
              </w:rPr>
              <w:t>percentage of resource elements available to NPDSCH/NPDCCH</w:t>
            </w:r>
          </w:p>
        </w:tc>
        <w:tc>
          <w:tcPr>
            <w:tcW w:w="900" w:type="dxa"/>
            <w:shd w:val="clear" w:color="auto" w:fill="auto"/>
            <w:noWrap/>
            <w:vAlign w:val="bottom"/>
          </w:tcPr>
          <w:p w14:paraId="5E8DE040" w14:textId="77777777" w:rsidR="00BE0C91" w:rsidRPr="00FA3A2B" w:rsidRDefault="00BE0C91" w:rsidP="00FB5A6A">
            <w:pPr>
              <w:spacing w:after="0"/>
              <w:jc w:val="both"/>
              <w:rPr>
                <w:color w:val="000000"/>
                <w:szCs w:val="22"/>
                <w:lang w:eastAsia="zh-TW"/>
              </w:rPr>
            </w:pPr>
            <w:r w:rsidRPr="00FA3A2B">
              <w:rPr>
                <w:color w:val="000000"/>
                <w:szCs w:val="22"/>
                <w:lang w:eastAsia="zh-TW"/>
              </w:rPr>
              <w:t>41.7%</w:t>
            </w:r>
          </w:p>
        </w:tc>
      </w:tr>
    </w:tbl>
    <w:p w14:paraId="63438B35" w14:textId="77777777" w:rsidR="00BE0C91" w:rsidRDefault="00BE0C91" w:rsidP="00FB5A6A">
      <w:pPr>
        <w:pStyle w:val="BodyText"/>
        <w:rPr>
          <w:rFonts w:eastAsia="MS Mincho"/>
          <w:lang w:val="en-US" w:eastAsia="ja-JP"/>
        </w:rPr>
      </w:pPr>
    </w:p>
    <w:p w14:paraId="31405003" w14:textId="6D6AC400" w:rsidR="00BE0C91" w:rsidRPr="009057D1" w:rsidRDefault="00FB0F00" w:rsidP="00FB5A6A">
      <w:pPr>
        <w:jc w:val="both"/>
        <w:rPr>
          <w:b/>
          <w:i/>
        </w:rPr>
      </w:pPr>
      <w:r>
        <w:rPr>
          <w:b/>
          <w:i/>
        </w:rPr>
        <w:lastRenderedPageBreak/>
        <w:t>Observation 1</w:t>
      </w:r>
      <w:r w:rsidR="00BE0C91" w:rsidRPr="009057D1">
        <w:rPr>
          <w:b/>
          <w:i/>
        </w:rPr>
        <w:t>: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61A247E" w14:textId="0FCC3DF4" w:rsidR="00844727" w:rsidRDefault="00844727" w:rsidP="00FB5A6A">
      <w:pPr>
        <w:jc w:val="both"/>
      </w:pPr>
      <w:r>
        <w:t xml:space="preserve">In addition, even if additional NPBCH subframes are introduced, there is no way to signal this information to the UE. Therefore, when the Rel-15 NB-IoT UE enters a cell, it needs to do multiple hypotheses to </w:t>
      </w:r>
      <w:r w:rsidR="00EB19BE">
        <w:t xml:space="preserve">find out whether and how the additional NPBCH repetitions are configured. This increase the UE complexity, and may not reduce the NPBCH decoding time as expected. </w:t>
      </w:r>
    </w:p>
    <w:p w14:paraId="64A9916A" w14:textId="467474D3" w:rsidR="002C3EC8" w:rsidRDefault="002C3EC8" w:rsidP="00FB5A6A">
      <w:pPr>
        <w:jc w:val="both"/>
      </w:pPr>
      <w:r>
        <w:t>Thus, we propose that using more NPBCH subframes</w:t>
      </w:r>
      <w:r w:rsidR="00FB0F00">
        <w:t xml:space="preserve"> on the anchor carrier</w:t>
      </w:r>
      <w:r>
        <w:t xml:space="preserve"> not consider</w:t>
      </w:r>
      <w:r w:rsidR="006105F8">
        <w:t>ed</w:t>
      </w:r>
      <w:r>
        <w:t>.</w:t>
      </w:r>
    </w:p>
    <w:p w14:paraId="039455DF" w14:textId="3672D25B" w:rsidR="002C3EC8" w:rsidRPr="009057D1" w:rsidRDefault="006E5AB2" w:rsidP="00FB5A6A">
      <w:pPr>
        <w:jc w:val="both"/>
        <w:rPr>
          <w:rFonts w:cs="Arial"/>
          <w:b/>
          <w:i/>
        </w:rPr>
      </w:pPr>
      <w:r>
        <w:rPr>
          <w:rFonts w:cs="Arial"/>
          <w:b/>
          <w:i/>
        </w:rPr>
        <w:t>Proposal 1</w:t>
      </w:r>
      <w:r w:rsidR="002C3EC8" w:rsidRPr="009057D1">
        <w:rPr>
          <w:rFonts w:cs="Arial"/>
          <w:b/>
          <w:i/>
        </w:rPr>
        <w:t xml:space="preserve">: </w:t>
      </w:r>
      <w:r w:rsidR="00E273B3">
        <w:rPr>
          <w:rFonts w:cs="Arial"/>
          <w:b/>
          <w:i/>
        </w:rPr>
        <w:t xml:space="preserve">Do not introduce </w:t>
      </w:r>
      <w:r w:rsidR="002C3EC8" w:rsidRPr="009057D1">
        <w:rPr>
          <w:rFonts w:cs="Arial"/>
          <w:b/>
          <w:i/>
        </w:rPr>
        <w:t>more NPBCH subframes</w:t>
      </w:r>
      <w:r w:rsidR="00FB0F00">
        <w:rPr>
          <w:rFonts w:cs="Arial"/>
          <w:b/>
          <w:i/>
        </w:rPr>
        <w:t xml:space="preserve"> on the anchor carrier</w:t>
      </w:r>
      <w:r w:rsidR="002C3EC8" w:rsidRPr="009057D1">
        <w:rPr>
          <w:rFonts w:cs="Arial"/>
          <w:b/>
          <w:i/>
        </w:rPr>
        <w:t>.</w:t>
      </w:r>
    </w:p>
    <w:p w14:paraId="0E1B9EFC" w14:textId="2BD1B2BF" w:rsidR="002C3EC8" w:rsidRDefault="006005D8" w:rsidP="00FB5A6A">
      <w:pPr>
        <w:pStyle w:val="BodyText"/>
        <w:spacing w:before="180" w:after="180"/>
        <w:rPr>
          <w:rFonts w:ascii="Times New Roman" w:eastAsia="MS Mincho" w:hAnsi="Times New Roman"/>
          <w:sz w:val="22"/>
          <w:szCs w:val="24"/>
          <w:lang w:val="en-US" w:eastAsia="ja-JP"/>
        </w:rPr>
      </w:pPr>
      <w:r w:rsidRPr="006005D8">
        <w:rPr>
          <w:rFonts w:ascii="Times New Roman" w:eastAsia="MS Mincho" w:hAnsi="Times New Roman"/>
          <w:sz w:val="22"/>
          <w:szCs w:val="24"/>
          <w:lang w:val="en-US" w:eastAsia="ja-JP"/>
        </w:rPr>
        <w:t>If</w:t>
      </w:r>
      <w:r>
        <w:rPr>
          <w:rFonts w:ascii="Times New Roman" w:eastAsia="MS Mincho" w:hAnsi="Times New Roman"/>
          <w:sz w:val="22"/>
          <w:szCs w:val="24"/>
          <w:lang w:val="en-US" w:eastAsia="ja-JP"/>
        </w:rPr>
        <w:t xml:space="preserve"> additional MIB-NB repetitions are transmitted on a non-anchor carrier, </w:t>
      </w:r>
      <w:r w:rsidR="00EB19BE">
        <w:rPr>
          <w:rFonts w:ascii="Times New Roman" w:eastAsia="MS Mincho" w:hAnsi="Times New Roman"/>
          <w:sz w:val="22"/>
          <w:szCs w:val="24"/>
          <w:lang w:val="en-US" w:eastAsia="ja-JP"/>
        </w:rPr>
        <w:t>firstly the UE needs to find out where is the non-anchor carrier. Since the non-anchor carrier information is not in MIB, the UE cannot take advantage</w:t>
      </w:r>
      <w:r w:rsidR="00374518">
        <w:rPr>
          <w:rFonts w:ascii="Times New Roman" w:eastAsia="MS Mincho" w:hAnsi="Times New Roman"/>
          <w:sz w:val="22"/>
          <w:szCs w:val="24"/>
          <w:lang w:val="en-US" w:eastAsia="ja-JP"/>
        </w:rPr>
        <w:t xml:space="preserve"> of</w:t>
      </w:r>
      <w:r w:rsidR="00EB19BE">
        <w:rPr>
          <w:rFonts w:ascii="Times New Roman" w:eastAsia="MS Mincho" w:hAnsi="Times New Roman"/>
          <w:sz w:val="22"/>
          <w:szCs w:val="24"/>
          <w:lang w:val="en-US" w:eastAsia="ja-JP"/>
        </w:rPr>
        <w:t xml:space="preserve"> this when initially enters the cell. Moreover, since the SI ValueTag is also in MIB, the UE needs to check MIB to verify whether the SI is changed. Therefore, the UE cannot be certain the non-anchor carrier is still configured, as the change of the non-anchor carrier is reflected in the SI ValueTag. In the rare care, the UE needs to acquire MIB again within a SI modification period, where the UE can assume the SI does not change. But even in such case, </w:t>
      </w:r>
      <w:r>
        <w:rPr>
          <w:rFonts w:ascii="Times New Roman" w:eastAsia="MS Mincho" w:hAnsi="Times New Roman"/>
          <w:sz w:val="22"/>
          <w:szCs w:val="24"/>
          <w:lang w:val="en-US" w:eastAsia="ja-JP"/>
        </w:rPr>
        <w:t>the UE needs to switch frequency between anchor and non-anchor carrier for NPBCH reception. Cross-subframe channel estimation has been shown to be very beneficial for MIB-NB acquisition</w:t>
      </w:r>
      <w:r w:rsidR="00F015E7">
        <w:rPr>
          <w:rFonts w:ascii="Times New Roman" w:eastAsia="MS Mincho" w:hAnsi="Times New Roman"/>
          <w:sz w:val="22"/>
          <w:szCs w:val="24"/>
          <w:lang w:val="en-US" w:eastAsia="ja-JP"/>
        </w:rPr>
        <w:t xml:space="preserve"> [2]</w:t>
      </w:r>
      <w:r>
        <w:rPr>
          <w:rFonts w:ascii="Times New Roman" w:eastAsia="MS Mincho" w:hAnsi="Times New Roman"/>
          <w:sz w:val="22"/>
          <w:szCs w:val="24"/>
          <w:lang w:val="en-US" w:eastAsia="ja-JP"/>
        </w:rPr>
        <w:t>. However, frequency retuning may introduce limitation on cross-subframe channel estimation. Thus, in our view, the benefit of transmitting additional MIB-NB repetitions on a non-anchor carrier is very limited.</w:t>
      </w:r>
    </w:p>
    <w:p w14:paraId="3E578A19" w14:textId="0D09B934" w:rsidR="006005D8"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Observation 2: Frequency retuning may introduce limitation on cross-subframe channel estimation and significantly reduce the effectiveness of cross-subframe channel estimation.</w:t>
      </w:r>
    </w:p>
    <w:p w14:paraId="5CF69DCC" w14:textId="161F2EF4" w:rsidR="004E55F1"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 xml:space="preserve">Proposal 2: </w:t>
      </w:r>
      <w:r w:rsidR="00EB19BE">
        <w:rPr>
          <w:rFonts w:ascii="Times New Roman" w:eastAsia="MS Mincho" w:hAnsi="Times New Roman"/>
          <w:b/>
          <w:i/>
          <w:sz w:val="22"/>
          <w:szCs w:val="24"/>
          <w:lang w:val="en-US" w:eastAsia="ja-JP"/>
        </w:rPr>
        <w:t xml:space="preserve">Do not introduce </w:t>
      </w:r>
      <w:r w:rsidRPr="00AF0237">
        <w:rPr>
          <w:rFonts w:ascii="Times New Roman" w:eastAsia="MS Mincho" w:hAnsi="Times New Roman"/>
          <w:b/>
          <w:i/>
          <w:sz w:val="22"/>
          <w:szCs w:val="24"/>
          <w:lang w:val="en-US" w:eastAsia="ja-JP"/>
        </w:rPr>
        <w:t>additional subframes on a non-anchor carrier for NPBCH.</w:t>
      </w:r>
    </w:p>
    <w:p w14:paraId="53661063" w14:textId="77777777" w:rsidR="00B01679" w:rsidRPr="00B01679" w:rsidRDefault="00B01679" w:rsidP="00FB5A6A">
      <w:pPr>
        <w:pStyle w:val="BodyText"/>
        <w:spacing w:before="180" w:after="180"/>
        <w:rPr>
          <w:rFonts w:ascii="Times New Roman" w:eastAsia="MS Mincho" w:hAnsi="Times New Roman"/>
          <w:sz w:val="22"/>
          <w:szCs w:val="24"/>
          <w:lang w:val="en-US" w:eastAsia="ja-JP"/>
        </w:rPr>
      </w:pPr>
    </w:p>
    <w:p w14:paraId="7413AFA1" w14:textId="29475D8F" w:rsidR="00BE0C91" w:rsidRPr="00166321" w:rsidRDefault="00B01679" w:rsidP="00FB5A6A">
      <w:pPr>
        <w:pStyle w:val="Heading2"/>
        <w:jc w:val="both"/>
      </w:pPr>
      <w:r>
        <w:t xml:space="preserve">Option 3: </w:t>
      </w:r>
      <w:r w:rsidRPr="00B01679">
        <w:t>Enhanced MIB-NB decoding techniques</w:t>
      </w:r>
    </w:p>
    <w:p w14:paraId="7ED9D5E3" w14:textId="4DD426C8" w:rsidR="00776B00" w:rsidRDefault="00301C73" w:rsidP="00FB5A6A">
      <w:pPr>
        <w:jc w:val="both"/>
      </w:pPr>
      <w:r>
        <w:t>In [3</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[3]. It</w:t>
      </w:r>
      <w:r w:rsidR="00776B00">
        <w:t xml:space="preserve"> allows the UE to jointly decode NPBCH received signals over multiple </w:t>
      </w:r>
      <w:r w:rsidR="00FB1C4B">
        <w:t xml:space="preserve">640-ms NPBCH </w:t>
      </w:r>
      <w:r w:rsidR="00776B00">
        <w:t>TTIs.</w:t>
      </w:r>
    </w:p>
    <w:p w14:paraId="7F384600" w14:textId="2716C552" w:rsidR="00194D02" w:rsidRDefault="00194D02" w:rsidP="00FB5A6A">
      <w:pPr>
        <w:jc w:val="both"/>
      </w:pPr>
      <w:r>
        <w:t>The encoding process of M</w:t>
      </w:r>
      <w:r w:rsidR="00E1677F">
        <w:t xml:space="preserve">IB-NB is illustrated in Figure </w:t>
      </w:r>
      <w:r w:rsidR="005E0FDD">
        <w:t>4</w:t>
      </w:r>
      <w:r>
        <w:t xml:space="preserve">.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FB5A6A">
      <w:pPr>
        <w:jc w:val="both"/>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2D4051D8" w:rsidR="00A87EB5" w:rsidRDefault="00A87EB5" w:rsidP="00FB5A6A">
      <w:pPr>
        <w:jc w:val="both"/>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5E0FDD">
        <w:t>5</w:t>
      </w:r>
      <w:r w:rsidR="009C4D76">
        <w:t xml:space="preserve">. Note here that compared to Figure </w:t>
      </w:r>
      <w:r w:rsidR="005E0FDD">
        <w:t>4</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as an additional scrambling mask applied to the codeword in the 2</w:t>
      </w:r>
      <w:r w:rsidR="003A3D1D" w:rsidRPr="00633EFB">
        <w:t>nd</w:t>
      </w:r>
      <w:r w:rsidR="003A3D1D">
        <w:t xml:space="preserve"> TTI</w:t>
      </w:r>
      <w:r w:rsidR="00E94277">
        <w:t>, relative to the codeword in the first TTI</w:t>
      </w:r>
      <w:r w:rsidR="003A3D1D">
        <w:t xml:space="preserve">. Thus, to use the two received codewords for joint </w:t>
      </w:r>
      <w:r w:rsidR="003A3D1D">
        <w:lastRenderedPageBreak/>
        <w:t xml:space="preserve">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10CB8659" w:rsidR="00D05C2F" w:rsidRDefault="00FB1C4B" w:rsidP="00FB5A6A">
      <w:pPr>
        <w:jc w:val="both"/>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5E0FDD">
        <w:t>2</w:t>
      </w:r>
      <w:r w:rsidR="00D05C2F">
        <w:t>.</w:t>
      </w:r>
      <w:r w:rsidR="0063051D">
        <w:t xml:space="preserve"> In Table </w:t>
      </w:r>
      <w:r w:rsidR="005E0FDD">
        <w:t>2</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FB5A6A">
      <w:pPr>
        <w:jc w:val="both"/>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FB5A6A">
      <w:pPr>
        <w:jc w:val="both"/>
      </w:pPr>
    </w:p>
    <w:p w14:paraId="121BB788" w14:textId="70AB5F0C" w:rsidR="00194D02" w:rsidRDefault="004A6F8E" w:rsidP="00343637">
      <w:pPr>
        <w:jc w:val="center"/>
      </w:pPr>
      <w:r>
        <w:object w:dxaOrig="7680" w:dyaOrig="866" w14:anchorId="2D120FD0">
          <v:shape id="_x0000_i1027" type="#_x0000_t75" style="width:385.7pt;height:43.7pt" o:ole="">
            <v:imagedata r:id="rId14" o:title=""/>
          </v:shape>
          <o:OLEObject Type="Embed" ProgID="Visio.Drawing.15" ShapeID="_x0000_i1027" DrawAspect="Content" ObjectID="_1568102729" r:id="rId15"/>
        </w:object>
      </w:r>
    </w:p>
    <w:p w14:paraId="03637A3C" w14:textId="27BFA1F7" w:rsidR="00194D02" w:rsidRPr="003D5A36" w:rsidRDefault="005E0FDD" w:rsidP="00343637">
      <w:pPr>
        <w:pStyle w:val="BodyText"/>
        <w:jc w:val="center"/>
        <w:rPr>
          <w:rFonts w:ascii="Times New Roman" w:eastAsia="MS Mincho" w:hAnsi="Times New Roman"/>
          <w:b/>
          <w:bCs/>
          <w:lang w:val="en-US" w:eastAsia="ja-JP"/>
        </w:rPr>
      </w:pPr>
      <w:r>
        <w:rPr>
          <w:rFonts w:ascii="Times New Roman" w:eastAsia="MS Mincho" w:hAnsi="Times New Roman"/>
          <w:b/>
          <w:bCs/>
          <w:lang w:val="en-US" w:eastAsia="ja-JP"/>
        </w:rPr>
        <w:t>Figure 4</w:t>
      </w:r>
      <w:r w:rsidR="00194D02" w:rsidRPr="003D5A36">
        <w:rPr>
          <w:rFonts w:ascii="Times New Roman" w:eastAsia="MS Mincho" w:hAnsi="Times New Roman"/>
          <w:b/>
          <w:bCs/>
          <w:lang w:val="en-US" w:eastAsia="ja-JP"/>
        </w:rPr>
        <w:t>: MIB-NB encoding process.</w:t>
      </w:r>
    </w:p>
    <w:p w14:paraId="16B9DE55" w14:textId="2AFDB37A" w:rsidR="00194D02" w:rsidRDefault="00194D02" w:rsidP="00FB5A6A">
      <w:pPr>
        <w:jc w:val="both"/>
      </w:pPr>
    </w:p>
    <w:p w14:paraId="61DB15AD" w14:textId="740F3DC6" w:rsidR="009C4D76" w:rsidRDefault="009C4D76" w:rsidP="00343637">
      <w:pPr>
        <w:jc w:val="center"/>
      </w:pPr>
      <w:r>
        <w:object w:dxaOrig="3849" w:dyaOrig="943" w14:anchorId="4C5E2727">
          <v:shape id="_x0000_i1028" type="#_x0000_t75" style="width:192.85pt;height:47.15pt" o:ole="">
            <v:imagedata r:id="rId16" o:title=""/>
          </v:shape>
          <o:OLEObject Type="Embed" ProgID="Visio.Drawing.15" ShapeID="_x0000_i1028" DrawAspect="Content" ObjectID="_1568102730" r:id="rId17"/>
        </w:object>
      </w:r>
    </w:p>
    <w:p w14:paraId="07C1BAE9" w14:textId="0726B1FE" w:rsidR="009C4D76" w:rsidRPr="003D5A36" w:rsidRDefault="009C4D76"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5E0FDD">
        <w:rPr>
          <w:rFonts w:ascii="Times New Roman" w:eastAsia="MS Mincho" w:hAnsi="Times New Roman"/>
          <w:b/>
          <w:bCs/>
          <w:lang w:val="en-US" w:eastAsia="ja-JP"/>
        </w:rPr>
        <w:t>5</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FB5A6A">
      <w:pPr>
        <w:jc w:val="both"/>
        <w:rPr>
          <w:rFonts w:ascii="Arial" w:hAnsi="Arial" w:cs="Arial"/>
          <w:sz w:val="20"/>
          <w:szCs w:val="20"/>
        </w:rPr>
      </w:pPr>
    </w:p>
    <w:p w14:paraId="3CA096AA" w14:textId="77777777" w:rsidR="00A256F8" w:rsidRDefault="00A256F8" w:rsidP="00FB5A6A">
      <w:pPr>
        <w:jc w:val="both"/>
        <w:rPr>
          <w:rFonts w:ascii="Arial" w:hAnsi="Arial" w:cs="Arial"/>
          <w:sz w:val="20"/>
          <w:szCs w:val="20"/>
        </w:rPr>
      </w:pPr>
    </w:p>
    <w:p w14:paraId="540DACE5" w14:textId="7E4C7EBB" w:rsidR="00A256F8" w:rsidRPr="003D5A36" w:rsidRDefault="00A256F8"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5E0FDD">
        <w:rPr>
          <w:rFonts w:ascii="Times New Roman" w:eastAsia="MS Mincho" w:hAnsi="Times New Roman"/>
          <w:b/>
          <w:bCs/>
          <w:lang w:val="en-US" w:eastAsia="ja-JP"/>
        </w:rPr>
        <w:t>2</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004012"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004012"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004012" w:rsidP="00FB5A6A">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FB5A6A">
            <w:pPr>
              <w:pStyle w:val="BodyText"/>
            </w:pPr>
            <w:r>
              <w:t>(0,0,0,0,0,0)</w:t>
            </w:r>
          </w:p>
        </w:tc>
        <w:tc>
          <w:tcPr>
            <w:tcW w:w="3207" w:type="dxa"/>
          </w:tcPr>
          <w:p w14:paraId="7F046BEA" w14:textId="77777777" w:rsidR="00A256F8" w:rsidRDefault="00A256F8" w:rsidP="00FB5A6A">
            <w:pPr>
              <w:pStyle w:val="BodyText"/>
            </w:pPr>
            <w:r>
              <w:t>(1,0,0,0,0,0)</w:t>
            </w:r>
          </w:p>
        </w:tc>
        <w:tc>
          <w:tcPr>
            <w:tcW w:w="3207" w:type="dxa"/>
          </w:tcPr>
          <w:p w14:paraId="67ACF202" w14:textId="50785272" w:rsidR="00A256F8" w:rsidRDefault="00A256F8" w:rsidP="00FB5A6A">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FB5A6A">
            <w:pPr>
              <w:pStyle w:val="BodyText"/>
            </w:pPr>
            <w:r>
              <w:t>(1,0,0,0,0,0)</w:t>
            </w:r>
          </w:p>
        </w:tc>
        <w:tc>
          <w:tcPr>
            <w:tcW w:w="3207" w:type="dxa"/>
          </w:tcPr>
          <w:p w14:paraId="3A280B90" w14:textId="77777777" w:rsidR="00A256F8" w:rsidRDefault="00A256F8" w:rsidP="00FB5A6A">
            <w:pPr>
              <w:pStyle w:val="BodyText"/>
            </w:pPr>
            <w:r>
              <w:t>(0,1,0,0,0,0)</w:t>
            </w:r>
          </w:p>
        </w:tc>
        <w:tc>
          <w:tcPr>
            <w:tcW w:w="3207" w:type="dxa"/>
          </w:tcPr>
          <w:p w14:paraId="2D506596" w14:textId="1C8F0046" w:rsidR="00A256F8" w:rsidRPr="009850C2" w:rsidRDefault="00A256F8" w:rsidP="00FB5A6A">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FB5A6A">
            <w:pPr>
              <w:pStyle w:val="BodyText"/>
            </w:pPr>
            <w:r>
              <w:t>(0,1,0,0,0,0)</w:t>
            </w:r>
          </w:p>
        </w:tc>
        <w:tc>
          <w:tcPr>
            <w:tcW w:w="3207" w:type="dxa"/>
          </w:tcPr>
          <w:p w14:paraId="0C0F30E3" w14:textId="77777777" w:rsidR="00A256F8" w:rsidRDefault="00A256F8" w:rsidP="00FB5A6A">
            <w:pPr>
              <w:pStyle w:val="BodyText"/>
            </w:pPr>
            <w:r>
              <w:t>(1,1,0,0,0,0)</w:t>
            </w:r>
          </w:p>
        </w:tc>
        <w:tc>
          <w:tcPr>
            <w:tcW w:w="3207" w:type="dxa"/>
          </w:tcPr>
          <w:p w14:paraId="3DD332BB" w14:textId="64B2278A" w:rsidR="00A256F8" w:rsidRDefault="00A256F8" w:rsidP="00FB5A6A">
            <w:pPr>
              <w:pStyle w:val="BodyText"/>
            </w:pPr>
            <w:r>
              <w:t>(1, 0, …, 0)</w:t>
            </w:r>
          </w:p>
        </w:tc>
      </w:tr>
      <w:tr w:rsidR="00A256F8" w14:paraId="3B808DA5" w14:textId="77777777" w:rsidTr="00A256F8">
        <w:tc>
          <w:tcPr>
            <w:tcW w:w="3206" w:type="dxa"/>
          </w:tcPr>
          <w:p w14:paraId="4E86665A" w14:textId="77777777" w:rsidR="00A256F8" w:rsidRDefault="00A256F8" w:rsidP="00FB5A6A">
            <w:pPr>
              <w:pStyle w:val="BodyText"/>
            </w:pPr>
            <w:r>
              <w:t>(1,1,0,0,0,0)</w:t>
            </w:r>
          </w:p>
        </w:tc>
        <w:tc>
          <w:tcPr>
            <w:tcW w:w="3207" w:type="dxa"/>
          </w:tcPr>
          <w:p w14:paraId="15116882" w14:textId="77777777" w:rsidR="00A256F8" w:rsidRDefault="00A256F8" w:rsidP="00FB5A6A">
            <w:pPr>
              <w:pStyle w:val="BodyText"/>
            </w:pPr>
            <w:r>
              <w:t>(0,0,1,0,0,0)</w:t>
            </w:r>
          </w:p>
        </w:tc>
        <w:tc>
          <w:tcPr>
            <w:tcW w:w="3207" w:type="dxa"/>
          </w:tcPr>
          <w:p w14:paraId="57E30696" w14:textId="1523AD98" w:rsidR="00A256F8" w:rsidRDefault="00A256F8" w:rsidP="00FB5A6A">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FB5A6A">
            <w:pPr>
              <w:pStyle w:val="BodyText"/>
            </w:pPr>
            <w:r>
              <w:t>(0,0,1,0,0,0)</w:t>
            </w:r>
          </w:p>
        </w:tc>
        <w:tc>
          <w:tcPr>
            <w:tcW w:w="3207" w:type="dxa"/>
          </w:tcPr>
          <w:p w14:paraId="5FE7181A" w14:textId="77777777" w:rsidR="00A256F8" w:rsidRDefault="00A256F8" w:rsidP="00FB5A6A">
            <w:pPr>
              <w:pStyle w:val="BodyText"/>
            </w:pPr>
            <w:r>
              <w:t>(1,0,1,0,0,0)</w:t>
            </w:r>
          </w:p>
        </w:tc>
        <w:tc>
          <w:tcPr>
            <w:tcW w:w="3207" w:type="dxa"/>
          </w:tcPr>
          <w:p w14:paraId="3F947DE1" w14:textId="167F16D6" w:rsidR="00A256F8" w:rsidRDefault="00A256F8" w:rsidP="00FB5A6A">
            <w:pPr>
              <w:pStyle w:val="BodyText"/>
            </w:pPr>
            <w:r>
              <w:t>(1, 0, 0, …, 0)</w:t>
            </w:r>
          </w:p>
        </w:tc>
      </w:tr>
      <w:tr w:rsidR="00A256F8" w14:paraId="412CFF6E" w14:textId="77777777" w:rsidTr="00A256F8">
        <w:tc>
          <w:tcPr>
            <w:tcW w:w="3206" w:type="dxa"/>
          </w:tcPr>
          <w:p w14:paraId="32228092" w14:textId="5D7DA288" w:rsidR="00A256F8" w:rsidRDefault="00A256F8" w:rsidP="00FB5A6A">
            <w:pPr>
              <w:pStyle w:val="BodyText"/>
            </w:pPr>
            <w:r>
              <w:t>(1,0,1,0,0,0)</w:t>
            </w:r>
          </w:p>
        </w:tc>
        <w:tc>
          <w:tcPr>
            <w:tcW w:w="3207" w:type="dxa"/>
          </w:tcPr>
          <w:p w14:paraId="70AB29DE" w14:textId="43BD5E16" w:rsidR="00A256F8" w:rsidRDefault="00A256F8" w:rsidP="00FB5A6A">
            <w:pPr>
              <w:pStyle w:val="BodyText"/>
            </w:pPr>
            <w:r>
              <w:t>(0,1,1,0,0,0)</w:t>
            </w:r>
          </w:p>
        </w:tc>
        <w:tc>
          <w:tcPr>
            <w:tcW w:w="3207" w:type="dxa"/>
          </w:tcPr>
          <w:p w14:paraId="717218C4" w14:textId="0A2BB745" w:rsidR="00A256F8" w:rsidRDefault="00A256F8" w:rsidP="00FB5A6A">
            <w:pPr>
              <w:pStyle w:val="BodyText"/>
            </w:pPr>
            <w:r>
              <w:t>(1, 1, 0, …, 0)</w:t>
            </w:r>
          </w:p>
        </w:tc>
      </w:tr>
      <w:tr w:rsidR="00A256F8" w14:paraId="71A13063" w14:textId="77777777" w:rsidTr="00A256F8">
        <w:tc>
          <w:tcPr>
            <w:tcW w:w="3206" w:type="dxa"/>
          </w:tcPr>
          <w:p w14:paraId="71049953" w14:textId="1B30618F" w:rsidR="00A256F8" w:rsidRDefault="00A256F8" w:rsidP="00FB5A6A">
            <w:pPr>
              <w:pStyle w:val="BodyText"/>
            </w:pPr>
            <w:r>
              <w:t>(0,1,1,0,0,0)</w:t>
            </w:r>
          </w:p>
        </w:tc>
        <w:tc>
          <w:tcPr>
            <w:tcW w:w="3207" w:type="dxa"/>
          </w:tcPr>
          <w:p w14:paraId="587AF0C0" w14:textId="2E969C62" w:rsidR="00A256F8" w:rsidRDefault="00A256F8" w:rsidP="00FB5A6A">
            <w:pPr>
              <w:pStyle w:val="BodyText"/>
            </w:pPr>
            <w:r>
              <w:t>(1,1,1,0,0,0)</w:t>
            </w:r>
          </w:p>
        </w:tc>
        <w:tc>
          <w:tcPr>
            <w:tcW w:w="3207" w:type="dxa"/>
          </w:tcPr>
          <w:p w14:paraId="7F72C94B" w14:textId="44AB9773" w:rsidR="00A256F8" w:rsidRDefault="00A256F8" w:rsidP="00FB5A6A">
            <w:pPr>
              <w:pStyle w:val="BodyText"/>
            </w:pPr>
            <w:r>
              <w:t>(1, 0, …, 0)</w:t>
            </w:r>
          </w:p>
        </w:tc>
      </w:tr>
      <w:tr w:rsidR="00A256F8" w14:paraId="50568291" w14:textId="77777777" w:rsidTr="00A256F8">
        <w:tc>
          <w:tcPr>
            <w:tcW w:w="3206" w:type="dxa"/>
          </w:tcPr>
          <w:p w14:paraId="5BE82FE7" w14:textId="4B88E747" w:rsidR="00A256F8" w:rsidRDefault="00A256F8" w:rsidP="00FB5A6A">
            <w:pPr>
              <w:pStyle w:val="BodyText"/>
            </w:pPr>
            <w:r>
              <w:t>(1,1,1,0,0,0)</w:t>
            </w:r>
          </w:p>
        </w:tc>
        <w:tc>
          <w:tcPr>
            <w:tcW w:w="3207" w:type="dxa"/>
          </w:tcPr>
          <w:p w14:paraId="75828DFA" w14:textId="5288F328" w:rsidR="00A256F8" w:rsidRDefault="00A256F8" w:rsidP="00FB5A6A">
            <w:pPr>
              <w:pStyle w:val="BodyText"/>
            </w:pPr>
            <w:r>
              <w:t>(0,0,0,1,0,0)</w:t>
            </w:r>
          </w:p>
        </w:tc>
        <w:tc>
          <w:tcPr>
            <w:tcW w:w="3207" w:type="dxa"/>
          </w:tcPr>
          <w:p w14:paraId="2C8DA097" w14:textId="51D4B7F6" w:rsidR="00A256F8" w:rsidRDefault="00A256F8" w:rsidP="00FB5A6A">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FB5A6A">
            <w:pPr>
              <w:pStyle w:val="BodyText"/>
            </w:pPr>
            <w:r>
              <w:t>……..</w:t>
            </w:r>
          </w:p>
        </w:tc>
        <w:tc>
          <w:tcPr>
            <w:tcW w:w="3207" w:type="dxa"/>
          </w:tcPr>
          <w:p w14:paraId="67AD105C" w14:textId="3164C84B" w:rsidR="00A256F8" w:rsidRDefault="00A256F8" w:rsidP="00FB5A6A">
            <w:pPr>
              <w:pStyle w:val="BodyText"/>
            </w:pPr>
            <w:r>
              <w:t>……..</w:t>
            </w:r>
          </w:p>
        </w:tc>
        <w:tc>
          <w:tcPr>
            <w:tcW w:w="3207" w:type="dxa"/>
          </w:tcPr>
          <w:p w14:paraId="75597535" w14:textId="3D9BBDAA" w:rsidR="00A256F8" w:rsidRDefault="00A256F8" w:rsidP="00FB5A6A">
            <w:pPr>
              <w:pStyle w:val="BodyText"/>
            </w:pPr>
            <w:r>
              <w:t>……..</w:t>
            </w:r>
          </w:p>
        </w:tc>
      </w:tr>
      <w:tr w:rsidR="00A256F8" w14:paraId="6A31A393" w14:textId="77777777" w:rsidTr="00A256F8">
        <w:tc>
          <w:tcPr>
            <w:tcW w:w="3206" w:type="dxa"/>
          </w:tcPr>
          <w:p w14:paraId="1ABA1C0A" w14:textId="455F8289" w:rsidR="00A256F8" w:rsidRDefault="00A256F8" w:rsidP="00FB5A6A">
            <w:pPr>
              <w:pStyle w:val="BodyText"/>
            </w:pPr>
            <w:r>
              <w:t>(1,1,1,1,0,0)</w:t>
            </w:r>
          </w:p>
        </w:tc>
        <w:tc>
          <w:tcPr>
            <w:tcW w:w="3207" w:type="dxa"/>
          </w:tcPr>
          <w:p w14:paraId="70D26793" w14:textId="7A342A27" w:rsidR="00A256F8" w:rsidRDefault="00A256F8" w:rsidP="00FB5A6A">
            <w:pPr>
              <w:pStyle w:val="BodyText"/>
            </w:pPr>
            <w:r>
              <w:t>(0,0,0,0,1,0)</w:t>
            </w:r>
          </w:p>
        </w:tc>
        <w:tc>
          <w:tcPr>
            <w:tcW w:w="3207" w:type="dxa"/>
          </w:tcPr>
          <w:p w14:paraId="52DC583B" w14:textId="3DC7D14A" w:rsidR="00A256F8" w:rsidRDefault="00A256F8" w:rsidP="00FB5A6A">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FB5A6A">
            <w:pPr>
              <w:pStyle w:val="BodyText"/>
            </w:pPr>
            <w:r>
              <w:t>……..</w:t>
            </w:r>
          </w:p>
        </w:tc>
        <w:tc>
          <w:tcPr>
            <w:tcW w:w="3207" w:type="dxa"/>
          </w:tcPr>
          <w:p w14:paraId="1E67419E" w14:textId="117C657D" w:rsidR="00A256F8" w:rsidRDefault="00A256F8" w:rsidP="00FB5A6A">
            <w:pPr>
              <w:pStyle w:val="BodyText"/>
            </w:pPr>
            <w:r>
              <w:t>……..</w:t>
            </w:r>
          </w:p>
        </w:tc>
        <w:tc>
          <w:tcPr>
            <w:tcW w:w="3207" w:type="dxa"/>
          </w:tcPr>
          <w:p w14:paraId="7A4D0E48" w14:textId="6C4E3158" w:rsidR="00A256F8" w:rsidRDefault="00A256F8" w:rsidP="00FB5A6A">
            <w:pPr>
              <w:pStyle w:val="BodyText"/>
            </w:pPr>
            <w:r>
              <w:t>……..</w:t>
            </w:r>
          </w:p>
        </w:tc>
      </w:tr>
      <w:tr w:rsidR="00A256F8" w14:paraId="3A5A1E9E" w14:textId="77777777" w:rsidTr="00A256F8">
        <w:tc>
          <w:tcPr>
            <w:tcW w:w="3206" w:type="dxa"/>
          </w:tcPr>
          <w:p w14:paraId="22257014" w14:textId="0C297F66" w:rsidR="00A256F8" w:rsidRDefault="00A256F8" w:rsidP="00FB5A6A">
            <w:pPr>
              <w:pStyle w:val="BodyText"/>
            </w:pPr>
            <w:r>
              <w:t>(1,1,1,1,1,0)</w:t>
            </w:r>
          </w:p>
        </w:tc>
        <w:tc>
          <w:tcPr>
            <w:tcW w:w="3207" w:type="dxa"/>
          </w:tcPr>
          <w:p w14:paraId="11497F24" w14:textId="7B430C3F" w:rsidR="00A256F8" w:rsidRDefault="00A256F8" w:rsidP="00FB5A6A">
            <w:pPr>
              <w:pStyle w:val="BodyText"/>
            </w:pPr>
            <w:r>
              <w:t>(0,0,0,0,0,1)</w:t>
            </w:r>
          </w:p>
        </w:tc>
        <w:tc>
          <w:tcPr>
            <w:tcW w:w="3207" w:type="dxa"/>
          </w:tcPr>
          <w:p w14:paraId="4B9F53AE" w14:textId="3D3E3B2A" w:rsidR="00A256F8" w:rsidRPr="009850C2" w:rsidRDefault="00A256F8" w:rsidP="00FB5A6A">
            <w:pPr>
              <w:pStyle w:val="BodyText"/>
              <w:rPr>
                <w:color w:val="0070C0"/>
              </w:rPr>
            </w:pPr>
            <w:r w:rsidRPr="009850C2">
              <w:rPr>
                <w:color w:val="0070C0"/>
              </w:rPr>
              <w:t>(1, 1, 1, 1, 1, 1, 1, …, 0)</w:t>
            </w:r>
          </w:p>
        </w:tc>
      </w:tr>
    </w:tbl>
    <w:p w14:paraId="2334C275" w14:textId="77777777" w:rsidR="00A256F8" w:rsidRPr="00966383" w:rsidRDefault="00A256F8" w:rsidP="00FB5A6A">
      <w:pPr>
        <w:jc w:val="both"/>
        <w:rPr>
          <w:rFonts w:ascii="Arial" w:hAnsi="Arial" w:cs="Arial"/>
          <w:sz w:val="20"/>
          <w:szCs w:val="20"/>
        </w:rPr>
      </w:pPr>
    </w:p>
    <w:p w14:paraId="11980279" w14:textId="34871701" w:rsidR="009C4D76" w:rsidRPr="007A1B0B" w:rsidRDefault="005E0FDD" w:rsidP="00FB5A6A">
      <w:pPr>
        <w:jc w:val="both"/>
        <w:rPr>
          <w:rFonts w:cs="Arial"/>
          <w:b/>
          <w:i/>
        </w:rPr>
      </w:pPr>
      <w:r>
        <w:rPr>
          <w:rFonts w:cs="Arial"/>
          <w:b/>
          <w:i/>
        </w:rPr>
        <w:lastRenderedPageBreak/>
        <w:t>Observation 3</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FB5A6A">
      <w:pPr>
        <w:jc w:val="both"/>
      </w:pPr>
    </w:p>
    <w:p w14:paraId="067770CD" w14:textId="4D61881B" w:rsidR="009C4D76" w:rsidRDefault="00240532" w:rsidP="00FB5A6A">
      <w:pPr>
        <w:jc w:val="both"/>
      </w:pPr>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BB1A6D5" w:rsidR="00187411" w:rsidRP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5E0FDD">
        <w:rPr>
          <w:rFonts w:ascii="Times New Roman" w:hAnsi="Times New Roman"/>
          <w:sz w:val="22"/>
          <w:szCs w:val="22"/>
        </w:rPr>
        <w:t>, as illustrated in Figure 6</w:t>
      </w:r>
      <w:r w:rsidR="00A050A1" w:rsidRPr="00CE2519">
        <w:rPr>
          <w:rFonts w:ascii="Times New Roman" w:hAnsi="Times New Roman"/>
          <w:sz w:val="22"/>
          <w:szCs w:val="22"/>
        </w:rPr>
        <w:t>.</w:t>
      </w:r>
    </w:p>
    <w:p w14:paraId="5D43CAB9" w14:textId="730BF9FF" w:rsidR="00187411" w:rsidRDefault="00187411"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3A215A">
        <w:rPr>
          <w:rFonts w:ascii="Times New Roman" w:hAnsi="Times New Roman"/>
          <w:sz w:val="22"/>
          <w:szCs w:val="22"/>
        </w:rPr>
        <w:t xml:space="preserve">hypotheses of </w:t>
      </w:r>
      <w:r w:rsidR="0052775E">
        <w:rPr>
          <w:rFonts w:ascii="Times New Roman" w:hAnsi="Times New Roman"/>
          <w:sz w:val="22"/>
          <w:szCs w:val="22"/>
        </w:rPr>
        <w:t>6 frame counting bits</w:t>
      </w:r>
      <w:r w:rsidR="005E0FDD">
        <w:rPr>
          <w:rFonts w:ascii="Times New Roman" w:hAnsi="Times New Roman"/>
          <w:sz w:val="22"/>
          <w:szCs w:val="22"/>
        </w:rPr>
        <w:t>, as illustrated in Figure 6</w:t>
      </w:r>
      <w:r w:rsidR="00A050A1">
        <w:rPr>
          <w:rFonts w:ascii="Times New Roman" w:hAnsi="Times New Roman"/>
          <w:sz w:val="22"/>
          <w:szCs w:val="22"/>
        </w:rPr>
        <w:t>.</w:t>
      </w:r>
    </w:p>
    <w:p w14:paraId="55F23275" w14:textId="706C202E" w:rsidR="000F1CFD" w:rsidRPr="00486DA9" w:rsidRDefault="0052775E"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w:t>
      </w:r>
      <w:r w:rsidR="005E0FDD">
        <w:rPr>
          <w:rFonts w:ascii="Times New Roman" w:hAnsi="Times New Roman"/>
          <w:sz w:val="22"/>
          <w:szCs w:val="22"/>
        </w:rPr>
        <w:t>or example, as shown in Figure 6</w:t>
      </w:r>
      <w:r w:rsidR="000F1CFD">
        <w:rPr>
          <w:rFonts w:ascii="Times New Roman" w:hAnsi="Times New Roman"/>
          <w:sz w:val="22"/>
          <w:szCs w:val="22"/>
        </w:rPr>
        <w:t>,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0D7043BD" w:rsidR="0052775E" w:rsidRDefault="00CE2519"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Acco</w:t>
      </w:r>
      <w:r w:rsidR="005E0FDD">
        <w:rPr>
          <w:rFonts w:ascii="Times New Roman" w:hAnsi="Times New Roman"/>
          <w:sz w:val="22"/>
          <w:szCs w:val="22"/>
        </w:rPr>
        <w:t>rding to the example in Figure 6</w:t>
      </w:r>
      <w:r w:rsidR="00A44914">
        <w:rPr>
          <w:rFonts w:ascii="Times New Roman" w:hAnsi="Times New Roman"/>
          <w:sz w:val="22"/>
          <w:szCs w:val="22"/>
        </w:rPr>
        <w:t xml:space="preserve">,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F25C89">
        <w:rPr>
          <w:rFonts w:ascii="Times New Roman" w:hAnsi="Times New Roman"/>
          <w:sz w:val="22"/>
          <w:szCs w:val="22"/>
        </w:rPr>
        <w:t>, see Table 2</w:t>
      </w:r>
      <w:r w:rsidR="00A44914">
        <w:rPr>
          <w:rFonts w:ascii="Times New Roman" w:hAnsi="Times New Roman"/>
          <w:sz w:val="22"/>
          <w:szCs w:val="22"/>
        </w:rPr>
        <w:t>.</w:t>
      </w:r>
    </w:p>
    <w:p w14:paraId="5491C4CB" w14:textId="4AB6843F" w:rsidR="00225F21" w:rsidRDefault="00426FD6" w:rsidP="00FB5A6A">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FB5A6A">
      <w:pPr>
        <w:jc w:val="both"/>
        <w:rPr>
          <w:szCs w:val="22"/>
        </w:rPr>
      </w:pPr>
    </w:p>
    <w:p w14:paraId="2E22FC78" w14:textId="263E17C7" w:rsidR="00946C1B" w:rsidRDefault="005E0FDD" w:rsidP="00FB5A6A">
      <w:pPr>
        <w:jc w:val="both"/>
        <w:rPr>
          <w:rFonts w:cs="Arial"/>
          <w:b/>
          <w:i/>
        </w:rPr>
      </w:pPr>
      <w:r>
        <w:rPr>
          <w:rFonts w:cs="Arial"/>
          <w:b/>
          <w:i/>
        </w:rPr>
        <w:t>Observation 4</w:t>
      </w:r>
      <w:r w:rsidR="00946C1B" w:rsidRPr="007A1B0B">
        <w:rPr>
          <w:rFonts w:cs="Arial"/>
          <w:b/>
          <w:i/>
        </w:rPr>
        <w:t>:</w:t>
      </w:r>
      <w:r w:rsidR="00946C1B">
        <w:rPr>
          <w:rFonts w:cs="Arial"/>
          <w:b/>
          <w:i/>
        </w:rPr>
        <w:t xml:space="preserve"> There is no significant increase in decoding complexity for jointly decoding MIB-NB over consecutive TTIs as the number of </w:t>
      </w:r>
      <w:r w:rsidR="00823C66">
        <w:rPr>
          <w:rFonts w:cs="Arial"/>
          <w:b/>
          <w:i/>
        </w:rPr>
        <w:t>states per TBCC decoding</w:t>
      </w:r>
      <w:r w:rsidR="00946C1B">
        <w:rPr>
          <w:rFonts w:cs="Arial"/>
          <w:b/>
          <w:i/>
        </w:rPr>
        <w:t xml:space="preserve"> stage is kept at 64.</w:t>
      </w:r>
    </w:p>
    <w:p w14:paraId="1CDD3CDA" w14:textId="77777777" w:rsidR="006B1E31" w:rsidRPr="00946C1B" w:rsidRDefault="006B1E31" w:rsidP="00FB5A6A">
      <w:pPr>
        <w:jc w:val="both"/>
        <w:rPr>
          <w:szCs w:val="22"/>
        </w:rPr>
      </w:pPr>
    </w:p>
    <w:p w14:paraId="57D7FF80" w14:textId="1F7AE5FF" w:rsidR="00A050A1" w:rsidRDefault="00CE2519" w:rsidP="00343637">
      <w:pPr>
        <w:jc w:val="center"/>
      </w:pPr>
      <w:r>
        <w:object w:dxaOrig="9472" w:dyaOrig="8220" w14:anchorId="5D9937EB">
          <v:shape id="_x0000_i1029" type="#_x0000_t75" style="width:392.15pt;height:339.85pt" o:ole="">
            <v:imagedata r:id="rId18" o:title=""/>
          </v:shape>
          <o:OLEObject Type="Embed" ProgID="Visio.Drawing.15" ShapeID="_x0000_i1029" DrawAspect="Content" ObjectID="_1568102731" r:id="rId19"/>
        </w:object>
      </w:r>
    </w:p>
    <w:p w14:paraId="695C6B30" w14:textId="4B3C138C" w:rsidR="00A050A1" w:rsidRDefault="005E0FDD" w:rsidP="00FB5A6A">
      <w:pPr>
        <w:pStyle w:val="Caption"/>
        <w:jc w:val="both"/>
      </w:pPr>
      <w:r>
        <w:t>Figure 6</w:t>
      </w:r>
      <w:r w:rsidR="00A050A1">
        <w:t>: TBCC decoder trellis with 64 states.</w:t>
      </w:r>
    </w:p>
    <w:p w14:paraId="5B5AF349" w14:textId="77777777" w:rsidR="00A050A1" w:rsidRPr="00A050A1" w:rsidRDefault="00A050A1" w:rsidP="00FB5A6A">
      <w:pPr>
        <w:jc w:val="both"/>
      </w:pPr>
    </w:p>
    <w:p w14:paraId="6CF82918" w14:textId="77777777" w:rsidR="00A050A1" w:rsidRPr="00A050A1" w:rsidRDefault="00A050A1" w:rsidP="00FB5A6A">
      <w:pPr>
        <w:jc w:val="both"/>
        <w:rPr>
          <w:lang w:val="en-GB" w:eastAsia="zh-CN"/>
        </w:rPr>
      </w:pPr>
    </w:p>
    <w:p w14:paraId="3555AAF6" w14:textId="73B47232" w:rsidR="00225F21" w:rsidRDefault="00225F21" w:rsidP="00FB5A6A">
      <w:pPr>
        <w:jc w:val="both"/>
      </w:pPr>
      <w:r>
        <w:t>The performance of jointly decoding MIB-NB over two consecutive TTI’s is shown in</w:t>
      </w:r>
      <w:r w:rsidR="00D4775B">
        <w:t xml:space="preserve"> Figure 6</w:t>
      </w:r>
      <w:r w:rsidR="00974536">
        <w:t>. Compared to the conventional TBCC decoder, which decodes the two TTI separately, the joint decoder gains by approximately 1 dB.</w:t>
      </w:r>
    </w:p>
    <w:p w14:paraId="0DC4B3CD" w14:textId="158513A1" w:rsidR="00225F21" w:rsidRDefault="0069393C" w:rsidP="00343637">
      <w:pPr>
        <w:jc w:val="center"/>
      </w:pPr>
      <w:r w:rsidRPr="0069393C">
        <w:rPr>
          <w:noProof/>
          <w:lang w:eastAsia="zh-TW"/>
        </w:rPr>
        <w:drawing>
          <wp:inline distT="0" distB="0" distL="0" distR="0" wp14:anchorId="2CEF501F" wp14:editId="22783768">
            <wp:extent cx="4165140" cy="3121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5977" cy="3122620"/>
                    </a:xfrm>
                    <a:prstGeom prst="rect">
                      <a:avLst/>
                    </a:prstGeom>
                    <a:noFill/>
                    <a:ln>
                      <a:noFill/>
                    </a:ln>
                  </pic:spPr>
                </pic:pic>
              </a:graphicData>
            </a:graphic>
          </wp:inline>
        </w:drawing>
      </w:r>
    </w:p>
    <w:p w14:paraId="50C4A585" w14:textId="668394D6" w:rsidR="00974536" w:rsidRDefault="00C26CDD" w:rsidP="00FB5A6A">
      <w:pPr>
        <w:pStyle w:val="Caption"/>
        <w:jc w:val="both"/>
      </w:pPr>
      <w:r>
        <w:lastRenderedPageBreak/>
        <w:t>Figure 7</w:t>
      </w:r>
      <w:r w:rsidR="00974536">
        <w:t>: MIB-NB reception performance with 1280 ms acquisition time. (in-band and guard-band modes, TU 1 Hz, and cross-subframe channel estimation with 20-ms interpolation window.)</w:t>
      </w:r>
    </w:p>
    <w:p w14:paraId="2D4EC4EE" w14:textId="77777777" w:rsidR="0069393C" w:rsidRDefault="0069393C" w:rsidP="00FB5A6A">
      <w:pPr>
        <w:jc w:val="both"/>
      </w:pPr>
    </w:p>
    <w:p w14:paraId="42BAA2B9" w14:textId="336E978F" w:rsidR="001746B7" w:rsidRDefault="001746B7" w:rsidP="00FB5A6A">
      <w:pPr>
        <w:jc w:val="both"/>
      </w:pPr>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6BCBF5F0" w14:textId="798B3C14" w:rsidR="00D4775B" w:rsidRPr="00C26CDD"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05F49C63" w14:textId="6FD8FB54" w:rsidR="00C26CDD" w:rsidRDefault="00C76377" w:rsidP="00FB5A6A">
      <w:pPr>
        <w:jc w:val="both"/>
      </w:pPr>
      <w:r>
        <w:t xml:space="preserve">The UE can assume </w:t>
      </w:r>
      <w:r w:rsidR="0097789C">
        <w:t>information</w:t>
      </w:r>
      <w:r w:rsidR="00C26CDD">
        <w:t xml:space="preserve"> #1, #2, #5, and #6 remains unchanged since it acquired MIB-NB last time. In some cases, assuming </w:t>
      </w:r>
      <w:r w:rsidR="00C26CDD">
        <w:rPr>
          <w:szCs w:val="22"/>
        </w:rPr>
        <w:t>s</w:t>
      </w:r>
      <w:r w:rsidR="00C26CDD" w:rsidRPr="00E84498">
        <w:rPr>
          <w:szCs w:val="22"/>
        </w:rPr>
        <w:t>ystem information value tag</w:t>
      </w:r>
      <w:r w:rsidR="00C26CDD">
        <w:rPr>
          <w:szCs w:val="22"/>
        </w:rPr>
        <w:t xml:space="preserve"> remains unchanged might be a risky assumption. Thus, it might be more feasible if the UE only assumes </w:t>
      </w:r>
      <w:r w:rsidR="00C26CDD">
        <w:t>information #1, #2, and #5 remains unchanged.</w:t>
      </w:r>
      <w:r w:rsidR="00D6164F">
        <w:t xml:space="preserve"> We evaluate both options of trellis pruning.</w:t>
      </w:r>
    </w:p>
    <w:p w14:paraId="722EBE13" w14:textId="137AE13C"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A: trellis pruning based on assumption that information #1, #2, #5, and #6 remains unchanged.</w:t>
      </w:r>
    </w:p>
    <w:p w14:paraId="6C1F70F8" w14:textId="71FD3809"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B: trellis pruning based on assumption that information #1, #2, and #5 remains unchanged.</w:t>
      </w:r>
    </w:p>
    <w:p w14:paraId="6169C91A" w14:textId="1EA955BC" w:rsidR="00225F21" w:rsidRDefault="00C76377" w:rsidP="00FB5A6A">
      <w:pPr>
        <w:jc w:val="both"/>
      </w:pP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3C5ED857" w:rsidR="00225F21" w:rsidRDefault="00501447" w:rsidP="00FB5A6A">
      <w:pPr>
        <w:jc w:val="both"/>
      </w:pPr>
      <w:r>
        <w:t xml:space="preserve">The two advanced NPBCH decoding approaches </w:t>
      </w:r>
      <w:r w:rsidR="00817A8C">
        <w:t xml:space="preserve">described in this section </w:t>
      </w:r>
      <w:r>
        <w:t xml:space="preserve">can </w:t>
      </w:r>
      <w:r w:rsidR="00817A8C">
        <w:t>be combined, and its performanc</w:t>
      </w:r>
      <w:r w:rsidR="00C26CDD">
        <w:t>e is shown in Figure 8</w:t>
      </w:r>
      <w:r w:rsidR="00817A8C">
        <w:t>.</w:t>
      </w:r>
      <w:r w:rsidR="00BD15BA">
        <w:t xml:space="preserve"> Building on top of the gain achieved by the joint decoder, if the assumed unchanged information within MIB-NB is used to prune the trellis during TBCC decoding, additional gains are achieved. Overall, both advanced decoder techniques jointly achieve close to 2 dB improvement.</w:t>
      </w:r>
      <w:r w:rsidR="00D6164F">
        <w:t xml:space="preserve"> In Figure 8, we see that MIB-NB detection performance with or without knowing s</w:t>
      </w:r>
      <w:r w:rsidR="00D6164F" w:rsidRPr="00D6164F">
        <w:t>ystem information value tag</w:t>
      </w:r>
      <w:r w:rsidR="00D6164F">
        <w:t xml:space="preserve"> </w:t>
      </w:r>
      <w:r w:rsidR="00AF0237">
        <w:t>does not differ by much</w:t>
      </w:r>
      <w:r w:rsidR="00D6164F">
        <w:t xml:space="preserve">. This is because knowing </w:t>
      </w:r>
      <w:r w:rsidR="00D6164F" w:rsidRPr="00402282">
        <w:rPr>
          <w:szCs w:val="22"/>
        </w:rPr>
        <w:t>#1, #2, and #5</w:t>
      </w:r>
      <w:r w:rsidR="00D6164F">
        <w:rPr>
          <w:szCs w:val="22"/>
        </w:rPr>
        <w:t xml:space="preserve"> already allows the decoder the prune the trellis quite substantially and achieve good separation between a correct path and an erroneous one. Pruning the trellis further with known </w:t>
      </w:r>
      <w:r w:rsidR="00546A75">
        <w:t>s</w:t>
      </w:r>
      <w:r w:rsidR="00546A75" w:rsidRPr="00D6164F">
        <w:t>ystem information value tag</w:t>
      </w:r>
      <w:r w:rsidR="00546A75">
        <w:t xml:space="preserve"> only have very modest effect on performance.</w:t>
      </w:r>
    </w:p>
    <w:p w14:paraId="3D8F72A5" w14:textId="78571981" w:rsidR="00817A8C" w:rsidRDefault="00817A8C" w:rsidP="00FB5A6A">
      <w:pPr>
        <w:jc w:val="both"/>
      </w:pPr>
    </w:p>
    <w:p w14:paraId="407A6C77" w14:textId="1FD70DA7" w:rsidR="00817A8C" w:rsidRDefault="00D6164F" w:rsidP="00343637">
      <w:pPr>
        <w:jc w:val="center"/>
      </w:pPr>
      <w:r w:rsidRPr="00D6164F">
        <w:lastRenderedPageBreak/>
        <w:t xml:space="preserve"> </w:t>
      </w:r>
      <w:r w:rsidR="003E13B4" w:rsidRPr="003E13B4">
        <w:rPr>
          <w:noProof/>
          <w:lang w:eastAsia="zh-TW"/>
        </w:rPr>
        <w:drawing>
          <wp:inline distT="0" distB="0" distL="0" distR="0" wp14:anchorId="0D88F21B" wp14:editId="680B3408">
            <wp:extent cx="4920343" cy="3688938"/>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1964" cy="3690153"/>
                    </a:xfrm>
                    <a:prstGeom prst="rect">
                      <a:avLst/>
                    </a:prstGeom>
                    <a:noFill/>
                    <a:ln>
                      <a:noFill/>
                    </a:ln>
                  </pic:spPr>
                </pic:pic>
              </a:graphicData>
            </a:graphic>
          </wp:inline>
        </w:drawing>
      </w:r>
    </w:p>
    <w:p w14:paraId="69F61077" w14:textId="5D3CE596" w:rsidR="003D5A36" w:rsidRDefault="00C26CDD" w:rsidP="00FB5A6A">
      <w:pPr>
        <w:pStyle w:val="Caption"/>
        <w:jc w:val="both"/>
      </w:pPr>
      <w:r>
        <w:t>Figure 8</w:t>
      </w:r>
      <w:r w:rsidR="003D5A36">
        <w:t>: MIB-NB reception performance with 1280 ms acquisition time. (in-band and guard-band modes, TU 1 Hz, and cross-subframe channel estimation with 20-ms interpolation window.)</w:t>
      </w:r>
    </w:p>
    <w:p w14:paraId="4B7C0E8C" w14:textId="2F7298D1" w:rsidR="003D5A36" w:rsidRDefault="003D5A36" w:rsidP="00FB5A6A">
      <w:pPr>
        <w:jc w:val="both"/>
      </w:pPr>
    </w:p>
    <w:p w14:paraId="5A5D4A96" w14:textId="21FE0F89" w:rsidR="00C24352" w:rsidRDefault="00C26CDD" w:rsidP="00FB5A6A">
      <w:pPr>
        <w:jc w:val="both"/>
        <w:rPr>
          <w:rFonts w:cs="Arial"/>
          <w:b/>
          <w:i/>
        </w:rPr>
      </w:pPr>
      <w:r>
        <w:rPr>
          <w:rFonts w:cs="Arial"/>
          <w:b/>
          <w:i/>
        </w:rPr>
        <w:t>Observation 5</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2AA6AC26" w14:textId="3774D0D6" w:rsidR="00F670DD" w:rsidRDefault="00F670DD" w:rsidP="00FB5A6A">
      <w:pPr>
        <w:pStyle w:val="Heading1"/>
        <w:jc w:val="both"/>
      </w:pPr>
      <w:r>
        <w:t>SIB1-NB Acquisition</w:t>
      </w:r>
    </w:p>
    <w:p w14:paraId="177C76B7" w14:textId="79563AFF" w:rsidR="00F670DD" w:rsidRDefault="005F1048" w:rsidP="00FB5A6A">
      <w:pPr>
        <w:jc w:val="both"/>
      </w:pPr>
      <w:r>
        <w:t>Regarding SIB1-NB, the remaining issues are if and how additional SIB1-NB repetitions are supported. One key issue is to ensure that legacy UEs know how to skip the subframes used for additional SIB1-NB repetitions, and Rel-15 UEs know where to locate these subframes.</w:t>
      </w:r>
    </w:p>
    <w:p w14:paraId="6E7EBCDA" w14:textId="70DB71A4" w:rsidR="00514E35" w:rsidRDefault="00514E35" w:rsidP="00FB5A6A">
      <w:pPr>
        <w:jc w:val="both"/>
      </w:pPr>
      <w:r>
        <w:t>Regarding allowing legacy UEs to skip the subframes used for additional SIB1-NB repetitions, we propose to use the “</w:t>
      </w:r>
      <w:r w:rsidRPr="00514E35">
        <w:t>downlinkBitmap</w:t>
      </w:r>
      <w:r>
        <w:t>” carried in SIB1-NB.</w:t>
      </w:r>
      <w:r w:rsidR="0072086F">
        <w:t xml:space="preserve"> For example, if subframe #8 is used for additional SIB1-NB repetitions, the </w:t>
      </w:r>
      <w:r w:rsidR="0072086F" w:rsidRPr="00514E35">
        <w:t>downlinkBitmap</w:t>
      </w:r>
      <w:r w:rsidR="0072086F">
        <w:t xml:space="preserve"> can be set as below. Here, a bitmap of length 10 is illustrated. This applies to stand-alone and guard-band operation modes. For in-band, the </w:t>
      </w:r>
      <w:r w:rsidR="0072086F" w:rsidRPr="00514E35">
        <w:t>downlinkBitmap</w:t>
      </w:r>
      <w:r w:rsidR="0072086F">
        <w:t xml:space="preserve"> is 40-bit long. Thus, legacy UEs will skip all subframes #8.</w:t>
      </w:r>
      <w:r w:rsidR="002D1FD1">
        <w:t xml:space="preserve"> </w:t>
      </w:r>
      <w:r w:rsidR="004E5F9E">
        <w:t>For Rel-15 UE, t</w:t>
      </w:r>
      <w:r w:rsidR="002D1FD1">
        <w:t>he subframe that is used for additional SIB1-NB repetitions may be determined based on cell ID</w:t>
      </w:r>
      <w:r w:rsidR="004E5F9E">
        <w:t xml:space="preserve">, and enabled in MIB (due to e.g, </w:t>
      </w:r>
      <w:r w:rsidR="00B974B5" w:rsidRPr="00B974B5">
        <w:t>MBSFN</w:t>
      </w:r>
      <w:r w:rsidR="00B974B5">
        <w:t>, the network cannot configure some subframes to be used for SIB1-NB repetitions</w:t>
      </w:r>
      <w:r w:rsidR="004E5F9E">
        <w:t>)</w:t>
      </w:r>
      <w:r w:rsidR="002D1FD1">
        <w:t>.</w:t>
      </w:r>
    </w:p>
    <w:p w14:paraId="1E254877" w14:textId="77777777" w:rsidR="0072086F" w:rsidRDefault="0072086F" w:rsidP="00FB5A6A">
      <w:pPr>
        <w:jc w:val="both"/>
      </w:pPr>
    </w:p>
    <w:tbl>
      <w:tblPr>
        <w:tblW w:w="3600" w:type="dxa"/>
        <w:jc w:val="center"/>
        <w:tblLook w:val="04A0" w:firstRow="1" w:lastRow="0" w:firstColumn="1" w:lastColumn="0" w:noHBand="0" w:noVBand="1"/>
      </w:tblPr>
      <w:tblGrid>
        <w:gridCol w:w="360"/>
        <w:gridCol w:w="360"/>
        <w:gridCol w:w="360"/>
        <w:gridCol w:w="360"/>
        <w:gridCol w:w="360"/>
        <w:gridCol w:w="360"/>
        <w:gridCol w:w="360"/>
        <w:gridCol w:w="360"/>
        <w:gridCol w:w="360"/>
        <w:gridCol w:w="360"/>
      </w:tblGrid>
      <w:tr w:rsidR="0072086F" w:rsidRPr="0072086F" w14:paraId="15986350" w14:textId="77777777" w:rsidTr="0072086F">
        <w:trPr>
          <w:trHeight w:val="292"/>
          <w:jc w:val="center"/>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9AC32"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0</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0EFEC6F"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1</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F4E11F4"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2</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411376E3"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3</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22C4BF1E"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4</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70E49931"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5</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CD5EEF4"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6</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63CCDC0"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7</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65AE00AF"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8</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5F5D33C8"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9</w:t>
            </w:r>
          </w:p>
        </w:tc>
      </w:tr>
      <w:tr w:rsidR="0072086F" w:rsidRPr="0072086F" w14:paraId="0C4B4932" w14:textId="77777777" w:rsidTr="0072086F">
        <w:trPr>
          <w:trHeight w:val="292"/>
          <w:jc w:val="center"/>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1226BDDF"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734EC443"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2FCC3DA5"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4965ADCB"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5CC93031"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2D4AB3C6"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25DF82F4"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0AAFA42F"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c>
          <w:tcPr>
            <w:tcW w:w="360" w:type="dxa"/>
            <w:tcBorders>
              <w:top w:val="nil"/>
              <w:left w:val="nil"/>
              <w:bottom w:val="single" w:sz="4" w:space="0" w:color="auto"/>
              <w:right w:val="single" w:sz="4" w:space="0" w:color="auto"/>
            </w:tcBorders>
            <w:shd w:val="clear" w:color="auto" w:fill="auto"/>
            <w:noWrap/>
            <w:vAlign w:val="bottom"/>
            <w:hideMark/>
          </w:tcPr>
          <w:p w14:paraId="0F3A54E0"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X</w:t>
            </w:r>
          </w:p>
        </w:tc>
        <w:tc>
          <w:tcPr>
            <w:tcW w:w="360" w:type="dxa"/>
            <w:tcBorders>
              <w:top w:val="nil"/>
              <w:left w:val="nil"/>
              <w:bottom w:val="single" w:sz="4" w:space="0" w:color="auto"/>
              <w:right w:val="single" w:sz="4" w:space="0" w:color="auto"/>
            </w:tcBorders>
            <w:shd w:val="clear" w:color="auto" w:fill="auto"/>
            <w:noWrap/>
            <w:vAlign w:val="bottom"/>
            <w:hideMark/>
          </w:tcPr>
          <w:p w14:paraId="4BD6D8E3" w14:textId="77777777" w:rsidR="0072086F" w:rsidRPr="0072086F" w:rsidRDefault="0072086F" w:rsidP="00FB5A6A">
            <w:pPr>
              <w:spacing w:after="0"/>
              <w:jc w:val="both"/>
              <w:rPr>
                <w:rFonts w:ascii="Calibri" w:eastAsia="Times New Roman" w:hAnsi="Calibri"/>
                <w:color w:val="000000"/>
                <w:szCs w:val="22"/>
                <w:lang w:eastAsia="en-US"/>
              </w:rPr>
            </w:pPr>
            <w:r w:rsidRPr="0072086F">
              <w:rPr>
                <w:rFonts w:ascii="Calibri" w:eastAsia="Times New Roman" w:hAnsi="Calibri"/>
                <w:color w:val="000000"/>
                <w:szCs w:val="22"/>
                <w:lang w:eastAsia="en-US"/>
              </w:rPr>
              <w:t> </w:t>
            </w:r>
          </w:p>
        </w:tc>
      </w:tr>
    </w:tbl>
    <w:p w14:paraId="597B31CD" w14:textId="0289A505" w:rsidR="0072086F" w:rsidRPr="00AF0237" w:rsidRDefault="0072086F" w:rsidP="00FB5A6A">
      <w:pPr>
        <w:jc w:val="both"/>
        <w:rPr>
          <w:b/>
        </w:rPr>
      </w:pPr>
      <w:r w:rsidRPr="00AF0237">
        <w:rPr>
          <w:b/>
        </w:rPr>
        <w:t>Figure 9: An example of using downlinkBitmap to allow legacy UEs to skip the subframes used for additional SIB1-NB repetitions.</w:t>
      </w:r>
    </w:p>
    <w:p w14:paraId="385D3907" w14:textId="7EF68C18" w:rsidR="005F1048" w:rsidRDefault="0072086F" w:rsidP="00FB5A6A">
      <w:pPr>
        <w:jc w:val="both"/>
      </w:pPr>
      <w:r>
        <w:t xml:space="preserve">Using 1 subframe in every frame for additional SIB1-NB repetitions is however not desirable as this means that additional 10% of radio resources are consumed by SIB1-NB. </w:t>
      </w:r>
      <w:r w:rsidR="004862DD">
        <w:t>It is beneficial to make it possible to reduce such additional overhead. This can be achieved by introducing a new information element in MIB-NB to indicate which radio frames contain the subframes used for additional SIB1-NB repetitions. For example, a value N can be signaled in MIB-NB to indicate that in</w:t>
      </w:r>
      <w:r w:rsidR="002D1FD1">
        <w:t xml:space="preserve"> every Nth radio there is an additional subframe used </w:t>
      </w:r>
      <w:r w:rsidR="002D1FD1">
        <w:lastRenderedPageBreak/>
        <w:t>for SIB1-NB repetition. In fact, N may be set to 0, which can be indicated that no additional SIB1-NB repetition is transmitted.</w:t>
      </w:r>
    </w:p>
    <w:p w14:paraId="53696808" w14:textId="035B0933" w:rsidR="002D1FD1" w:rsidRPr="00F670DD" w:rsidRDefault="002D1FD1" w:rsidP="00FB5A6A">
      <w:pPr>
        <w:jc w:val="both"/>
      </w:pPr>
      <w:r>
        <w:t>In case of N&gt;0, which radio frames containing the subframes used for additional SIB1-NB repetitions may be determined based on cell ID. The subframes</w:t>
      </w:r>
      <w:r w:rsidR="006B073B">
        <w:t xml:space="preserve"> (e.g. subframe #8 according to the </w:t>
      </w:r>
      <w:r w:rsidR="006B073B" w:rsidRPr="00514E35">
        <w:t>downlinkBitmap</w:t>
      </w:r>
      <w:r w:rsidR="006B073B">
        <w:t xml:space="preserve"> example in Figure 9) that are not used for additional SIB1-NB repetitions are treated as valid subframes by Rel-15 UEs. These subframes can be used for NPDCCH and NPDSCH not carrying SIB1-NB.</w:t>
      </w:r>
    </w:p>
    <w:p w14:paraId="39175565" w14:textId="77777777" w:rsidR="00F670DD" w:rsidRPr="00F670DD" w:rsidRDefault="00F670DD" w:rsidP="00FB5A6A">
      <w:pPr>
        <w:jc w:val="both"/>
      </w:pPr>
    </w:p>
    <w:p w14:paraId="1C6D82A1" w14:textId="3CD546FE" w:rsidR="00D0025C" w:rsidRPr="00E330BC" w:rsidRDefault="008B5CAA" w:rsidP="00FB5A6A">
      <w:pPr>
        <w:pStyle w:val="Heading1"/>
        <w:jc w:val="both"/>
      </w:pPr>
      <w:r>
        <w:t>Conclusions</w:t>
      </w:r>
    </w:p>
    <w:p w14:paraId="0DC4FC53" w14:textId="2D1A7C4D" w:rsidR="00077B1B" w:rsidRPr="00D30FD9" w:rsidRDefault="00FD4489" w:rsidP="00FB5A6A">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In this contribution, we discuss potential solutions that can reduce system acquisition time.</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and proposals are made.</w:t>
      </w:r>
    </w:p>
    <w:p w14:paraId="1E4D5F49" w14:textId="77777777" w:rsidR="007670E6" w:rsidRPr="007670E6" w:rsidRDefault="007670E6" w:rsidP="00FB5A6A">
      <w:pPr>
        <w:jc w:val="both"/>
        <w:rPr>
          <w:rFonts w:cs="Arial"/>
          <w:b/>
          <w:i/>
        </w:rPr>
      </w:pPr>
      <w:r w:rsidRPr="007670E6">
        <w:rPr>
          <w:rFonts w:cs="Arial"/>
          <w:b/>
          <w:i/>
        </w:rPr>
        <w:t>Observation 1: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A0C6640" w14:textId="77777777" w:rsidR="007670E6" w:rsidRPr="007670E6" w:rsidRDefault="007670E6" w:rsidP="00FB5A6A">
      <w:pPr>
        <w:jc w:val="both"/>
        <w:rPr>
          <w:rFonts w:cs="Arial"/>
          <w:b/>
          <w:i/>
        </w:rPr>
      </w:pPr>
      <w:r w:rsidRPr="007670E6">
        <w:rPr>
          <w:rFonts w:cs="Arial"/>
          <w:b/>
          <w:i/>
        </w:rPr>
        <w:t>Observation 2: Frequency retuning may introduce limitation on cross-subframe channel estimation and significantly reduce the effectiveness of cross-subframe channel estimation.</w:t>
      </w:r>
    </w:p>
    <w:p w14:paraId="7BF86EE4" w14:textId="20C2466F" w:rsidR="007670E6" w:rsidRPr="007670E6" w:rsidRDefault="007670E6" w:rsidP="00FB5A6A">
      <w:pPr>
        <w:jc w:val="both"/>
        <w:rPr>
          <w:rFonts w:cs="Arial"/>
          <w:b/>
          <w:i/>
        </w:rPr>
      </w:pPr>
      <w:r>
        <w:rPr>
          <w:rFonts w:cs="Arial"/>
          <w:b/>
          <w:i/>
        </w:rPr>
        <w:t>Observation 3</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04C326BB" w14:textId="77777777" w:rsidR="007670E6" w:rsidRDefault="007670E6" w:rsidP="00FB5A6A">
      <w:pPr>
        <w:jc w:val="both"/>
        <w:rPr>
          <w:rFonts w:cs="Arial"/>
          <w:b/>
          <w:i/>
        </w:rPr>
      </w:pPr>
      <w:r>
        <w:rPr>
          <w:rFonts w:cs="Arial"/>
          <w:b/>
          <w:i/>
        </w:rPr>
        <w:t>Observation 4</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F3E7828" w14:textId="77777777" w:rsidR="007670E6" w:rsidRDefault="007670E6" w:rsidP="00FB5A6A">
      <w:pPr>
        <w:jc w:val="both"/>
        <w:rPr>
          <w:rFonts w:cs="Arial"/>
          <w:b/>
          <w:i/>
        </w:rPr>
      </w:pPr>
      <w:r>
        <w:rPr>
          <w:rFonts w:cs="Arial"/>
          <w:b/>
          <w:i/>
        </w:rPr>
        <w:t>Observation 5</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06F51793" w14:textId="77777777" w:rsidR="007670E6" w:rsidRDefault="007670E6" w:rsidP="00FB5A6A">
      <w:pPr>
        <w:jc w:val="both"/>
      </w:pPr>
    </w:p>
    <w:p w14:paraId="4105E8FD" w14:textId="7A1C81CF" w:rsidR="007670E6" w:rsidRPr="007670E6" w:rsidRDefault="007670E6" w:rsidP="00FB5A6A">
      <w:pPr>
        <w:jc w:val="both"/>
        <w:rPr>
          <w:rFonts w:cs="Arial"/>
          <w:b/>
          <w:i/>
        </w:rPr>
      </w:pPr>
      <w:r w:rsidRPr="007670E6">
        <w:rPr>
          <w:rFonts w:cs="Arial"/>
          <w:b/>
          <w:i/>
        </w:rPr>
        <w:t xml:space="preserve">Proposal 1: </w:t>
      </w:r>
      <w:r w:rsidR="003335C8">
        <w:rPr>
          <w:rFonts w:cs="Arial"/>
          <w:b/>
          <w:i/>
        </w:rPr>
        <w:t>Do not introduce</w:t>
      </w:r>
      <w:r w:rsidR="003335C8" w:rsidRPr="007670E6">
        <w:rPr>
          <w:rFonts w:cs="Arial"/>
          <w:b/>
          <w:i/>
        </w:rPr>
        <w:t xml:space="preserve"> </w:t>
      </w:r>
      <w:r w:rsidRPr="007670E6">
        <w:rPr>
          <w:rFonts w:cs="Arial"/>
          <w:b/>
          <w:i/>
        </w:rPr>
        <w:t>more NPBCH subframes on the anchor carrier.</w:t>
      </w:r>
    </w:p>
    <w:p w14:paraId="451864E3" w14:textId="346CB36A" w:rsidR="007670E6" w:rsidRPr="007670E6" w:rsidRDefault="007670E6" w:rsidP="00FB5A6A">
      <w:pPr>
        <w:jc w:val="both"/>
        <w:rPr>
          <w:rFonts w:cs="Arial"/>
          <w:b/>
          <w:i/>
        </w:rPr>
      </w:pPr>
      <w:r w:rsidRPr="006005D8">
        <w:rPr>
          <w:rFonts w:cs="Arial"/>
          <w:b/>
          <w:i/>
        </w:rPr>
        <w:t>Proposal 2:</w:t>
      </w:r>
      <w:r w:rsidRPr="007670E6">
        <w:rPr>
          <w:rFonts w:cs="Arial"/>
          <w:b/>
          <w:i/>
        </w:rPr>
        <w:t xml:space="preserve"> </w:t>
      </w:r>
      <w:r w:rsidR="003335C8">
        <w:rPr>
          <w:rFonts w:cs="Arial"/>
          <w:b/>
          <w:i/>
        </w:rPr>
        <w:t>Do not introduce</w:t>
      </w:r>
      <w:r w:rsidRPr="009057D1">
        <w:rPr>
          <w:rFonts w:cs="Arial"/>
          <w:b/>
          <w:i/>
        </w:rPr>
        <w:t xml:space="preserve"> </w:t>
      </w:r>
      <w:r>
        <w:rPr>
          <w:rFonts w:cs="Arial"/>
          <w:b/>
          <w:i/>
        </w:rPr>
        <w:t>additional</w:t>
      </w:r>
      <w:r w:rsidRPr="009057D1">
        <w:rPr>
          <w:rFonts w:cs="Arial"/>
          <w:b/>
          <w:i/>
        </w:rPr>
        <w:t xml:space="preserve"> subframes</w:t>
      </w:r>
      <w:r>
        <w:rPr>
          <w:rFonts w:cs="Arial"/>
          <w:b/>
          <w:i/>
        </w:rPr>
        <w:t xml:space="preserve"> on a non-anchor carrier for NPBCH repetitions</w:t>
      </w:r>
      <w:r w:rsidRPr="009057D1">
        <w:rPr>
          <w:rFonts w:cs="Arial"/>
          <w:b/>
          <w:i/>
        </w:rPr>
        <w:t>.</w:t>
      </w:r>
    </w:p>
    <w:p w14:paraId="1943BE1C" w14:textId="77777777" w:rsidR="00D0025C" w:rsidRPr="00040C32" w:rsidRDefault="00D0025C" w:rsidP="00FB5A6A">
      <w:pPr>
        <w:pStyle w:val="Heading1"/>
        <w:jc w:val="both"/>
      </w:pPr>
      <w:r w:rsidRPr="00040C32">
        <w:t>References</w:t>
      </w:r>
    </w:p>
    <w:p w14:paraId="70C8CB0F" w14:textId="0E41D532" w:rsidR="00E6086E" w:rsidRDefault="006336FE" w:rsidP="00FB5A6A">
      <w:pPr>
        <w:numPr>
          <w:ilvl w:val="0"/>
          <w:numId w:val="4"/>
        </w:numPr>
        <w:overflowPunct w:val="0"/>
        <w:autoSpaceDE w:val="0"/>
        <w:autoSpaceDN w:val="0"/>
        <w:adjustRightInd w:val="0"/>
        <w:spacing w:after="180"/>
        <w:jc w:val="both"/>
        <w:textAlignment w:val="baseline"/>
      </w:pPr>
      <w:bookmarkStart w:id="3" w:name="_Ref462665614"/>
      <w:r w:rsidRPr="006105F8">
        <w:t>RP-170852</w:t>
      </w:r>
      <w:r w:rsidR="00D0025C" w:rsidRPr="006105F8">
        <w:t>, “</w:t>
      </w:r>
      <w:r w:rsidRPr="006105F8">
        <w:t>Further NB-IoT enhancements</w:t>
      </w:r>
      <w:r w:rsidR="001305AB">
        <w:t>,</w:t>
      </w:r>
      <w:r w:rsidR="00D0025C" w:rsidRPr="006105F8">
        <w:t>” RAN#7</w:t>
      </w:r>
      <w:r w:rsidRPr="006105F8">
        <w:t>5</w:t>
      </w:r>
      <w:r w:rsidR="00D0025C" w:rsidRPr="006105F8">
        <w:t>, source Huawei, HiSilicon,</w:t>
      </w:r>
      <w:r w:rsidRPr="006105F8">
        <w:t xml:space="preserve"> Neul, 6 – 9</w:t>
      </w:r>
      <w:r w:rsidR="00D0025C" w:rsidRPr="006105F8">
        <w:t xml:space="preserve"> </w:t>
      </w:r>
      <w:r w:rsidRPr="006105F8">
        <w:t>March, 2017</w:t>
      </w:r>
      <w:r w:rsidR="00D0025C" w:rsidRPr="006105F8">
        <w:t>.</w:t>
      </w:r>
      <w:bookmarkEnd w:id="3"/>
    </w:p>
    <w:p w14:paraId="0E9CA813" w14:textId="492BAC58" w:rsidR="00F015E7" w:rsidRPr="00AF0237" w:rsidRDefault="000A79F3" w:rsidP="000A79F3">
      <w:pPr>
        <w:numPr>
          <w:ilvl w:val="0"/>
          <w:numId w:val="4"/>
        </w:numPr>
        <w:overflowPunct w:val="0"/>
        <w:autoSpaceDE w:val="0"/>
        <w:autoSpaceDN w:val="0"/>
        <w:adjustRightInd w:val="0"/>
        <w:spacing w:after="180"/>
        <w:jc w:val="both"/>
        <w:textAlignment w:val="baseline"/>
      </w:pPr>
      <w:r w:rsidRPr="00AA1856">
        <w:t xml:space="preserve">R1-1712629, “Reduced system acquisition time for NB-IoT,” source </w:t>
      </w:r>
      <w:r w:rsidRPr="00AF0237">
        <w:t xml:space="preserve">Ericsson, </w:t>
      </w:r>
      <w:r w:rsidRPr="00AA1856">
        <w:t>21 – 25 Aug., 2017</w:t>
      </w:r>
    </w:p>
    <w:p w14:paraId="48618F25" w14:textId="71ECD4B1" w:rsidR="000B5175" w:rsidRPr="006105F8" w:rsidRDefault="00166321" w:rsidP="00FB5A6A">
      <w:pPr>
        <w:numPr>
          <w:ilvl w:val="0"/>
          <w:numId w:val="4"/>
        </w:numPr>
        <w:overflowPunct w:val="0"/>
        <w:autoSpaceDE w:val="0"/>
        <w:autoSpaceDN w:val="0"/>
        <w:adjustRightInd w:val="0"/>
        <w:spacing w:after="180"/>
        <w:jc w:val="both"/>
        <w:textAlignment w:val="baseline"/>
      </w:pPr>
      <w:r w:rsidRPr="006105F8">
        <w:t>R1-1705188, “On system acquisition time reduction</w:t>
      </w:r>
      <w:r w:rsidR="001305AB">
        <w:t>,”</w:t>
      </w:r>
      <w:r w:rsidRPr="006105F8">
        <w:t xml:space="preserve"> RAN1#88b, source Ericsson, 3 – 7 April, 2017.</w:t>
      </w:r>
    </w:p>
    <w:p w14:paraId="6527C494" w14:textId="65E70199" w:rsidR="00674053" w:rsidRPr="0074676D" w:rsidRDefault="00674053" w:rsidP="00FB5A6A">
      <w:pPr>
        <w:jc w:val="both"/>
        <w:rPr>
          <w:rFonts w:cs="Arial"/>
        </w:rPr>
      </w:pPr>
    </w:p>
    <w:sectPr w:rsidR="00674053" w:rsidRPr="0074676D" w:rsidSect="008F64CA">
      <w:headerReference w:type="even" r:id="rId22"/>
      <w:headerReference w:type="default" r:id="rId23"/>
      <w:footerReference w:type="even" r:id="rId24"/>
      <w:footerReference w:type="default" r:id="rId25"/>
      <w:headerReference w:type="first" r:id="rId26"/>
      <w:footerReference w:type="first" r:id="rId2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381E" w14:textId="77777777" w:rsidR="00004012" w:rsidRDefault="00004012">
      <w:pPr>
        <w:spacing w:after="0"/>
      </w:pPr>
      <w:r>
        <w:separator/>
      </w:r>
    </w:p>
  </w:endnote>
  <w:endnote w:type="continuationSeparator" w:id="0">
    <w:p w14:paraId="797D2B34" w14:textId="77777777" w:rsidR="00004012" w:rsidRDefault="00004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FF0E" w14:textId="77777777" w:rsidR="005E0FDD" w:rsidRDefault="005E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428A6A4C" w:rsidR="005E0FDD" w:rsidRDefault="005E0FDD">
    <w:pPr>
      <w:pStyle w:val="Footer"/>
      <w:ind w:right="-1521"/>
    </w:pPr>
    <w:r>
      <w:rPr>
        <w:rStyle w:val="PageNumber"/>
      </w:rPr>
      <w:fldChar w:fldCharType="begin"/>
    </w:r>
    <w:r>
      <w:rPr>
        <w:rStyle w:val="PageNumber"/>
      </w:rPr>
      <w:instrText xml:space="preserve"> PAGE </w:instrText>
    </w:r>
    <w:r>
      <w:rPr>
        <w:rStyle w:val="PageNumber"/>
      </w:rPr>
      <w:fldChar w:fldCharType="separate"/>
    </w:r>
    <w:r w:rsidR="005F41BA">
      <w:rPr>
        <w:rStyle w:val="PageNumber"/>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1BA">
      <w:rPr>
        <w:rStyle w:val="PageNumber"/>
      </w:rPr>
      <w:t>10</w:t>
    </w:r>
    <w:r>
      <w:rPr>
        <w:rStyle w:val="PageNumber"/>
      </w:rPr>
      <w:fldChar w:fldCharType="end"/>
    </w:r>
    <w:r>
      <w:rPr>
        <w:rStyle w:val="PageNumber"/>
      </w:rPr>
      <w: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79B26688" w:rsidR="005E0FDD" w:rsidRDefault="005E0FDD">
    <w:pPr>
      <w:pStyle w:val="Footer"/>
    </w:pPr>
    <w:r>
      <w:rPr>
        <w:rStyle w:val="PageNumber"/>
      </w:rPr>
      <w:fldChar w:fldCharType="begin"/>
    </w:r>
    <w:r>
      <w:rPr>
        <w:rStyle w:val="PageNumber"/>
      </w:rPr>
      <w:instrText xml:space="preserve"> PAGE </w:instrText>
    </w:r>
    <w:r>
      <w:rPr>
        <w:rStyle w:val="PageNumber"/>
      </w:rPr>
      <w:fldChar w:fldCharType="separate"/>
    </w:r>
    <w:r w:rsidR="005F41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1BA">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B4ABF" w14:textId="77777777" w:rsidR="00004012" w:rsidRDefault="00004012">
      <w:pPr>
        <w:spacing w:after="0"/>
      </w:pPr>
      <w:r>
        <w:separator/>
      </w:r>
    </w:p>
  </w:footnote>
  <w:footnote w:type="continuationSeparator" w:id="0">
    <w:p w14:paraId="32CE77C4" w14:textId="77777777" w:rsidR="00004012" w:rsidRDefault="00004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DCD3" w14:textId="77777777" w:rsidR="005E0FDD" w:rsidRDefault="005E0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5E0FDD" w:rsidRPr="006A0FC7" w:rsidRDefault="005E0FDD"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5E0FDD" w:rsidRPr="00BF30DA" w:rsidRDefault="005E0FDD"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5" w15:restartNumberingAfterBreak="0">
    <w:nsid w:val="2AC21290"/>
    <w:multiLevelType w:val="hybridMultilevel"/>
    <w:tmpl w:val="BBE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B5175"/>
    <w:multiLevelType w:val="hybridMultilevel"/>
    <w:tmpl w:val="6DE2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4"/>
  </w:num>
  <w:num w:numId="5">
    <w:abstractNumId w:val="8"/>
  </w:num>
  <w:num w:numId="6">
    <w:abstractNumId w:val="13"/>
  </w:num>
  <w:num w:numId="7">
    <w:abstractNumId w:val="12"/>
  </w:num>
  <w:num w:numId="8">
    <w:abstractNumId w:val="6"/>
  </w:num>
  <w:num w:numId="9">
    <w:abstractNumId w:val="2"/>
  </w:num>
  <w:num w:numId="10">
    <w:abstractNumId w:val="9"/>
  </w:num>
  <w:num w:numId="11">
    <w:abstractNumId w:val="7"/>
  </w:num>
  <w:num w:numId="12">
    <w:abstractNumId w:val="5"/>
  </w:num>
  <w:num w:numId="13">
    <w:abstractNumId w:val="1"/>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4012"/>
    <w:rsid w:val="00015C19"/>
    <w:rsid w:val="00023947"/>
    <w:rsid w:val="000246B6"/>
    <w:rsid w:val="00026998"/>
    <w:rsid w:val="00030434"/>
    <w:rsid w:val="00032044"/>
    <w:rsid w:val="00040C32"/>
    <w:rsid w:val="00042F9B"/>
    <w:rsid w:val="000458F1"/>
    <w:rsid w:val="00050CE3"/>
    <w:rsid w:val="00051840"/>
    <w:rsid w:val="00054C9C"/>
    <w:rsid w:val="00064EC6"/>
    <w:rsid w:val="00065736"/>
    <w:rsid w:val="00067587"/>
    <w:rsid w:val="000713E2"/>
    <w:rsid w:val="00073095"/>
    <w:rsid w:val="00077B1B"/>
    <w:rsid w:val="00087413"/>
    <w:rsid w:val="000900F5"/>
    <w:rsid w:val="000A1844"/>
    <w:rsid w:val="000A3E5D"/>
    <w:rsid w:val="000A6ED3"/>
    <w:rsid w:val="000A755D"/>
    <w:rsid w:val="000A79F3"/>
    <w:rsid w:val="000B5175"/>
    <w:rsid w:val="000C0578"/>
    <w:rsid w:val="000C5230"/>
    <w:rsid w:val="000D6E7E"/>
    <w:rsid w:val="000E237B"/>
    <w:rsid w:val="000E4DCC"/>
    <w:rsid w:val="000E51FE"/>
    <w:rsid w:val="000F1B6D"/>
    <w:rsid w:val="000F1CFD"/>
    <w:rsid w:val="000F4D52"/>
    <w:rsid w:val="000F6784"/>
    <w:rsid w:val="000F6FF5"/>
    <w:rsid w:val="00100216"/>
    <w:rsid w:val="00103529"/>
    <w:rsid w:val="001111C8"/>
    <w:rsid w:val="0011133B"/>
    <w:rsid w:val="00112C00"/>
    <w:rsid w:val="0011695D"/>
    <w:rsid w:val="001173BC"/>
    <w:rsid w:val="00120F8D"/>
    <w:rsid w:val="00122163"/>
    <w:rsid w:val="00127903"/>
    <w:rsid w:val="0013001D"/>
    <w:rsid w:val="001305AB"/>
    <w:rsid w:val="00134AC8"/>
    <w:rsid w:val="001421FF"/>
    <w:rsid w:val="0014525B"/>
    <w:rsid w:val="00145F76"/>
    <w:rsid w:val="001468F8"/>
    <w:rsid w:val="00146E22"/>
    <w:rsid w:val="001476A2"/>
    <w:rsid w:val="00153462"/>
    <w:rsid w:val="00155CA9"/>
    <w:rsid w:val="001653B4"/>
    <w:rsid w:val="00166321"/>
    <w:rsid w:val="00167A91"/>
    <w:rsid w:val="001746B7"/>
    <w:rsid w:val="001824D7"/>
    <w:rsid w:val="00182E1C"/>
    <w:rsid w:val="00183C5E"/>
    <w:rsid w:val="00186EB2"/>
    <w:rsid w:val="00187411"/>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440B"/>
    <w:rsid w:val="002070CF"/>
    <w:rsid w:val="0021026C"/>
    <w:rsid w:val="00210DE0"/>
    <w:rsid w:val="0021185C"/>
    <w:rsid w:val="00211A8D"/>
    <w:rsid w:val="002149B3"/>
    <w:rsid w:val="00225BDF"/>
    <w:rsid w:val="00225F21"/>
    <w:rsid w:val="002345BF"/>
    <w:rsid w:val="002346A8"/>
    <w:rsid w:val="00240532"/>
    <w:rsid w:val="00243252"/>
    <w:rsid w:val="00246705"/>
    <w:rsid w:val="00250B34"/>
    <w:rsid w:val="0025283A"/>
    <w:rsid w:val="00252A5E"/>
    <w:rsid w:val="00254977"/>
    <w:rsid w:val="00260842"/>
    <w:rsid w:val="00274655"/>
    <w:rsid w:val="00275CF9"/>
    <w:rsid w:val="002848DE"/>
    <w:rsid w:val="00286985"/>
    <w:rsid w:val="00292366"/>
    <w:rsid w:val="00294AA7"/>
    <w:rsid w:val="002A5F54"/>
    <w:rsid w:val="002B3029"/>
    <w:rsid w:val="002B53A1"/>
    <w:rsid w:val="002C090C"/>
    <w:rsid w:val="002C3241"/>
    <w:rsid w:val="002C3EC8"/>
    <w:rsid w:val="002C4D77"/>
    <w:rsid w:val="002C51C6"/>
    <w:rsid w:val="002C777A"/>
    <w:rsid w:val="002C7894"/>
    <w:rsid w:val="002D1FD1"/>
    <w:rsid w:val="002D41B6"/>
    <w:rsid w:val="002E3796"/>
    <w:rsid w:val="002E4823"/>
    <w:rsid w:val="002E6163"/>
    <w:rsid w:val="002E6E6D"/>
    <w:rsid w:val="002F0B9F"/>
    <w:rsid w:val="002F1E0C"/>
    <w:rsid w:val="002F5297"/>
    <w:rsid w:val="002F5A5C"/>
    <w:rsid w:val="002F6616"/>
    <w:rsid w:val="00301C73"/>
    <w:rsid w:val="00302688"/>
    <w:rsid w:val="003036B0"/>
    <w:rsid w:val="0030478D"/>
    <w:rsid w:val="00304B8A"/>
    <w:rsid w:val="00314D8B"/>
    <w:rsid w:val="00320EC5"/>
    <w:rsid w:val="003235A5"/>
    <w:rsid w:val="00327D85"/>
    <w:rsid w:val="003317F8"/>
    <w:rsid w:val="0033211A"/>
    <w:rsid w:val="003335C8"/>
    <w:rsid w:val="003344F3"/>
    <w:rsid w:val="00343637"/>
    <w:rsid w:val="00350056"/>
    <w:rsid w:val="0037062D"/>
    <w:rsid w:val="00374518"/>
    <w:rsid w:val="0037667A"/>
    <w:rsid w:val="00382406"/>
    <w:rsid w:val="00383189"/>
    <w:rsid w:val="0038546A"/>
    <w:rsid w:val="003914A6"/>
    <w:rsid w:val="00396414"/>
    <w:rsid w:val="003A215A"/>
    <w:rsid w:val="003A3526"/>
    <w:rsid w:val="003A3D1D"/>
    <w:rsid w:val="003A79AB"/>
    <w:rsid w:val="003B163E"/>
    <w:rsid w:val="003B70D0"/>
    <w:rsid w:val="003C2A4E"/>
    <w:rsid w:val="003C6570"/>
    <w:rsid w:val="003C7664"/>
    <w:rsid w:val="003D30F6"/>
    <w:rsid w:val="003D3A36"/>
    <w:rsid w:val="003D5A36"/>
    <w:rsid w:val="003E13B4"/>
    <w:rsid w:val="003E46E6"/>
    <w:rsid w:val="00400FF7"/>
    <w:rsid w:val="00406175"/>
    <w:rsid w:val="004177A0"/>
    <w:rsid w:val="00420331"/>
    <w:rsid w:val="0042082E"/>
    <w:rsid w:val="00422A84"/>
    <w:rsid w:val="00426FD6"/>
    <w:rsid w:val="004325D0"/>
    <w:rsid w:val="004360A7"/>
    <w:rsid w:val="00473761"/>
    <w:rsid w:val="004769BB"/>
    <w:rsid w:val="00481C6D"/>
    <w:rsid w:val="004862DD"/>
    <w:rsid w:val="00486DA9"/>
    <w:rsid w:val="00487384"/>
    <w:rsid w:val="004901C7"/>
    <w:rsid w:val="00492325"/>
    <w:rsid w:val="00492C7C"/>
    <w:rsid w:val="00494FD0"/>
    <w:rsid w:val="004A27EF"/>
    <w:rsid w:val="004A6C62"/>
    <w:rsid w:val="004A6F8E"/>
    <w:rsid w:val="004A754A"/>
    <w:rsid w:val="004B16A3"/>
    <w:rsid w:val="004B2104"/>
    <w:rsid w:val="004B5641"/>
    <w:rsid w:val="004C5C00"/>
    <w:rsid w:val="004E234E"/>
    <w:rsid w:val="004E25C1"/>
    <w:rsid w:val="004E55F1"/>
    <w:rsid w:val="004E5F9E"/>
    <w:rsid w:val="004E6FA6"/>
    <w:rsid w:val="004F1A79"/>
    <w:rsid w:val="004F415C"/>
    <w:rsid w:val="004F42FB"/>
    <w:rsid w:val="004F6586"/>
    <w:rsid w:val="00501447"/>
    <w:rsid w:val="00502083"/>
    <w:rsid w:val="00503F5F"/>
    <w:rsid w:val="00506846"/>
    <w:rsid w:val="00514643"/>
    <w:rsid w:val="00514E35"/>
    <w:rsid w:val="00516E84"/>
    <w:rsid w:val="00517CD5"/>
    <w:rsid w:val="005220A3"/>
    <w:rsid w:val="0052775E"/>
    <w:rsid w:val="00532695"/>
    <w:rsid w:val="00532ABE"/>
    <w:rsid w:val="00535CFA"/>
    <w:rsid w:val="00541BD8"/>
    <w:rsid w:val="0054204E"/>
    <w:rsid w:val="00542E85"/>
    <w:rsid w:val="00545DBC"/>
    <w:rsid w:val="00546A75"/>
    <w:rsid w:val="00551443"/>
    <w:rsid w:val="00551E65"/>
    <w:rsid w:val="00552672"/>
    <w:rsid w:val="005549B8"/>
    <w:rsid w:val="005549D7"/>
    <w:rsid w:val="00556DD7"/>
    <w:rsid w:val="005578FC"/>
    <w:rsid w:val="00560A00"/>
    <w:rsid w:val="00561FE2"/>
    <w:rsid w:val="00562747"/>
    <w:rsid w:val="0056324C"/>
    <w:rsid w:val="00565213"/>
    <w:rsid w:val="00567905"/>
    <w:rsid w:val="00570629"/>
    <w:rsid w:val="00574782"/>
    <w:rsid w:val="005819F1"/>
    <w:rsid w:val="00585A8F"/>
    <w:rsid w:val="0058763E"/>
    <w:rsid w:val="00587BFF"/>
    <w:rsid w:val="00590754"/>
    <w:rsid w:val="005A2136"/>
    <w:rsid w:val="005A2DC7"/>
    <w:rsid w:val="005A5F6A"/>
    <w:rsid w:val="005A73F9"/>
    <w:rsid w:val="005B3AC1"/>
    <w:rsid w:val="005B43FF"/>
    <w:rsid w:val="005B7FD3"/>
    <w:rsid w:val="005C1045"/>
    <w:rsid w:val="005C43AF"/>
    <w:rsid w:val="005D0804"/>
    <w:rsid w:val="005D2421"/>
    <w:rsid w:val="005D5FB2"/>
    <w:rsid w:val="005D7A30"/>
    <w:rsid w:val="005D7EAB"/>
    <w:rsid w:val="005E0FDD"/>
    <w:rsid w:val="005F0049"/>
    <w:rsid w:val="005F1048"/>
    <w:rsid w:val="005F1BF9"/>
    <w:rsid w:val="005F2340"/>
    <w:rsid w:val="005F2777"/>
    <w:rsid w:val="005F41BA"/>
    <w:rsid w:val="005F50CF"/>
    <w:rsid w:val="005F5F23"/>
    <w:rsid w:val="006005D8"/>
    <w:rsid w:val="006040BD"/>
    <w:rsid w:val="006105F8"/>
    <w:rsid w:val="00611383"/>
    <w:rsid w:val="00611E08"/>
    <w:rsid w:val="006120D3"/>
    <w:rsid w:val="00616BF7"/>
    <w:rsid w:val="00622DD5"/>
    <w:rsid w:val="00622DDC"/>
    <w:rsid w:val="0063003B"/>
    <w:rsid w:val="0063051D"/>
    <w:rsid w:val="00631B7D"/>
    <w:rsid w:val="006336FE"/>
    <w:rsid w:val="00633EFB"/>
    <w:rsid w:val="00635F56"/>
    <w:rsid w:val="0063781B"/>
    <w:rsid w:val="006408F9"/>
    <w:rsid w:val="00643228"/>
    <w:rsid w:val="00650072"/>
    <w:rsid w:val="00650DFB"/>
    <w:rsid w:val="00653B0D"/>
    <w:rsid w:val="006571DE"/>
    <w:rsid w:val="00661BF5"/>
    <w:rsid w:val="006635DF"/>
    <w:rsid w:val="00664815"/>
    <w:rsid w:val="00665B79"/>
    <w:rsid w:val="00670718"/>
    <w:rsid w:val="00674053"/>
    <w:rsid w:val="00676F66"/>
    <w:rsid w:val="0069393C"/>
    <w:rsid w:val="00693B4E"/>
    <w:rsid w:val="0069737F"/>
    <w:rsid w:val="006A1AC3"/>
    <w:rsid w:val="006A3A54"/>
    <w:rsid w:val="006B073B"/>
    <w:rsid w:val="006B1E31"/>
    <w:rsid w:val="006B23B9"/>
    <w:rsid w:val="006B2B29"/>
    <w:rsid w:val="006B3F0B"/>
    <w:rsid w:val="006C1A2D"/>
    <w:rsid w:val="006C3209"/>
    <w:rsid w:val="006C4E4F"/>
    <w:rsid w:val="006C55B8"/>
    <w:rsid w:val="006D10B4"/>
    <w:rsid w:val="006D1688"/>
    <w:rsid w:val="006D1CC4"/>
    <w:rsid w:val="006D50D6"/>
    <w:rsid w:val="006D774A"/>
    <w:rsid w:val="006E0934"/>
    <w:rsid w:val="006E48D6"/>
    <w:rsid w:val="006E577B"/>
    <w:rsid w:val="006E5AB2"/>
    <w:rsid w:val="006F2EB6"/>
    <w:rsid w:val="007003FC"/>
    <w:rsid w:val="007127E1"/>
    <w:rsid w:val="0072086F"/>
    <w:rsid w:val="00721023"/>
    <w:rsid w:val="00730249"/>
    <w:rsid w:val="0073097D"/>
    <w:rsid w:val="00737463"/>
    <w:rsid w:val="0074094A"/>
    <w:rsid w:val="0074676D"/>
    <w:rsid w:val="00752444"/>
    <w:rsid w:val="00753183"/>
    <w:rsid w:val="00761D18"/>
    <w:rsid w:val="007656D3"/>
    <w:rsid w:val="00766DE5"/>
    <w:rsid w:val="007670E6"/>
    <w:rsid w:val="00771E1A"/>
    <w:rsid w:val="00773048"/>
    <w:rsid w:val="00776B00"/>
    <w:rsid w:val="00782477"/>
    <w:rsid w:val="007863C5"/>
    <w:rsid w:val="00786446"/>
    <w:rsid w:val="0078652C"/>
    <w:rsid w:val="00786A10"/>
    <w:rsid w:val="007871A4"/>
    <w:rsid w:val="00792756"/>
    <w:rsid w:val="007A1B0B"/>
    <w:rsid w:val="007A1D4C"/>
    <w:rsid w:val="007A2E89"/>
    <w:rsid w:val="007A4C7D"/>
    <w:rsid w:val="007C0300"/>
    <w:rsid w:val="007C0E55"/>
    <w:rsid w:val="007C5560"/>
    <w:rsid w:val="007C7D08"/>
    <w:rsid w:val="007D1822"/>
    <w:rsid w:val="007D3134"/>
    <w:rsid w:val="007D3B77"/>
    <w:rsid w:val="007E7BC4"/>
    <w:rsid w:val="007F2B85"/>
    <w:rsid w:val="007F5C12"/>
    <w:rsid w:val="007F6408"/>
    <w:rsid w:val="00804CB5"/>
    <w:rsid w:val="00807936"/>
    <w:rsid w:val="00810B99"/>
    <w:rsid w:val="00817A8C"/>
    <w:rsid w:val="008227C8"/>
    <w:rsid w:val="00823C66"/>
    <w:rsid w:val="00826896"/>
    <w:rsid w:val="00827E27"/>
    <w:rsid w:val="00831109"/>
    <w:rsid w:val="00835BD8"/>
    <w:rsid w:val="00840A9C"/>
    <w:rsid w:val="00841A5A"/>
    <w:rsid w:val="00844727"/>
    <w:rsid w:val="00847BAF"/>
    <w:rsid w:val="0086071C"/>
    <w:rsid w:val="00863528"/>
    <w:rsid w:val="008641BF"/>
    <w:rsid w:val="008659F2"/>
    <w:rsid w:val="00871B8C"/>
    <w:rsid w:val="00871EEB"/>
    <w:rsid w:val="0088184F"/>
    <w:rsid w:val="008861D7"/>
    <w:rsid w:val="00895014"/>
    <w:rsid w:val="00896320"/>
    <w:rsid w:val="008A1390"/>
    <w:rsid w:val="008A2470"/>
    <w:rsid w:val="008B20EE"/>
    <w:rsid w:val="008B5CAA"/>
    <w:rsid w:val="008C0AB2"/>
    <w:rsid w:val="008D09EC"/>
    <w:rsid w:val="008D116E"/>
    <w:rsid w:val="008D3FB0"/>
    <w:rsid w:val="008D5EE7"/>
    <w:rsid w:val="008D7659"/>
    <w:rsid w:val="008E1BEF"/>
    <w:rsid w:val="008F64CA"/>
    <w:rsid w:val="009009E5"/>
    <w:rsid w:val="009057D1"/>
    <w:rsid w:val="00905CFB"/>
    <w:rsid w:val="00907764"/>
    <w:rsid w:val="00911CCF"/>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6383"/>
    <w:rsid w:val="0097382B"/>
    <w:rsid w:val="009738B3"/>
    <w:rsid w:val="00974536"/>
    <w:rsid w:val="0097789C"/>
    <w:rsid w:val="00980827"/>
    <w:rsid w:val="00980D8E"/>
    <w:rsid w:val="00981CB7"/>
    <w:rsid w:val="009850C2"/>
    <w:rsid w:val="00986A8B"/>
    <w:rsid w:val="009A0919"/>
    <w:rsid w:val="009A1130"/>
    <w:rsid w:val="009A2BB3"/>
    <w:rsid w:val="009A3C14"/>
    <w:rsid w:val="009A53E6"/>
    <w:rsid w:val="009B0B09"/>
    <w:rsid w:val="009B5ED9"/>
    <w:rsid w:val="009C0295"/>
    <w:rsid w:val="009C4D76"/>
    <w:rsid w:val="009C74D4"/>
    <w:rsid w:val="009D3605"/>
    <w:rsid w:val="009E1EBC"/>
    <w:rsid w:val="009E380C"/>
    <w:rsid w:val="009E67E3"/>
    <w:rsid w:val="009F0A3D"/>
    <w:rsid w:val="009F15B1"/>
    <w:rsid w:val="009F2576"/>
    <w:rsid w:val="009F29A9"/>
    <w:rsid w:val="009F523A"/>
    <w:rsid w:val="009F6E28"/>
    <w:rsid w:val="00A019AB"/>
    <w:rsid w:val="00A02DFD"/>
    <w:rsid w:val="00A04DC2"/>
    <w:rsid w:val="00A050A1"/>
    <w:rsid w:val="00A10AD1"/>
    <w:rsid w:val="00A11925"/>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C0E"/>
    <w:rsid w:val="00A57673"/>
    <w:rsid w:val="00A65EAF"/>
    <w:rsid w:val="00A67B01"/>
    <w:rsid w:val="00A7001B"/>
    <w:rsid w:val="00A71ACC"/>
    <w:rsid w:val="00A72DBD"/>
    <w:rsid w:val="00A80E97"/>
    <w:rsid w:val="00A87EB5"/>
    <w:rsid w:val="00A929E6"/>
    <w:rsid w:val="00A9335C"/>
    <w:rsid w:val="00A967CC"/>
    <w:rsid w:val="00A97361"/>
    <w:rsid w:val="00AA12B2"/>
    <w:rsid w:val="00AA1856"/>
    <w:rsid w:val="00AA52A8"/>
    <w:rsid w:val="00AA6225"/>
    <w:rsid w:val="00AA7EDD"/>
    <w:rsid w:val="00AB244D"/>
    <w:rsid w:val="00AB6145"/>
    <w:rsid w:val="00AC36C5"/>
    <w:rsid w:val="00AC5266"/>
    <w:rsid w:val="00AC643E"/>
    <w:rsid w:val="00AD06B7"/>
    <w:rsid w:val="00AD26EB"/>
    <w:rsid w:val="00AD2874"/>
    <w:rsid w:val="00AD2F6C"/>
    <w:rsid w:val="00AD61CE"/>
    <w:rsid w:val="00AD641C"/>
    <w:rsid w:val="00AF0237"/>
    <w:rsid w:val="00AF56D2"/>
    <w:rsid w:val="00B01679"/>
    <w:rsid w:val="00B20909"/>
    <w:rsid w:val="00B23E5D"/>
    <w:rsid w:val="00B356BF"/>
    <w:rsid w:val="00B36D78"/>
    <w:rsid w:val="00B420EC"/>
    <w:rsid w:val="00B45D42"/>
    <w:rsid w:val="00B637EA"/>
    <w:rsid w:val="00B73E6A"/>
    <w:rsid w:val="00B75C4A"/>
    <w:rsid w:val="00B81344"/>
    <w:rsid w:val="00B85DB5"/>
    <w:rsid w:val="00B86B69"/>
    <w:rsid w:val="00B8745B"/>
    <w:rsid w:val="00B879A3"/>
    <w:rsid w:val="00B90830"/>
    <w:rsid w:val="00B9529A"/>
    <w:rsid w:val="00B96150"/>
    <w:rsid w:val="00B96D10"/>
    <w:rsid w:val="00B9740D"/>
    <w:rsid w:val="00B974B5"/>
    <w:rsid w:val="00BA17DC"/>
    <w:rsid w:val="00BA4E9C"/>
    <w:rsid w:val="00BA6190"/>
    <w:rsid w:val="00BB0465"/>
    <w:rsid w:val="00BB22CB"/>
    <w:rsid w:val="00BB3A77"/>
    <w:rsid w:val="00BC0CD5"/>
    <w:rsid w:val="00BC0EF9"/>
    <w:rsid w:val="00BC1564"/>
    <w:rsid w:val="00BC649A"/>
    <w:rsid w:val="00BC76A7"/>
    <w:rsid w:val="00BD14C6"/>
    <w:rsid w:val="00BD15BA"/>
    <w:rsid w:val="00BE0C91"/>
    <w:rsid w:val="00C203E6"/>
    <w:rsid w:val="00C24352"/>
    <w:rsid w:val="00C24A0B"/>
    <w:rsid w:val="00C26CDD"/>
    <w:rsid w:val="00C26D86"/>
    <w:rsid w:val="00C308F3"/>
    <w:rsid w:val="00C33678"/>
    <w:rsid w:val="00C367EF"/>
    <w:rsid w:val="00C40491"/>
    <w:rsid w:val="00C40CDF"/>
    <w:rsid w:val="00C43944"/>
    <w:rsid w:val="00C4627A"/>
    <w:rsid w:val="00C51BB8"/>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7299"/>
    <w:rsid w:val="00CD6908"/>
    <w:rsid w:val="00CE2519"/>
    <w:rsid w:val="00CE2C68"/>
    <w:rsid w:val="00CE5565"/>
    <w:rsid w:val="00CE58A2"/>
    <w:rsid w:val="00CE7E26"/>
    <w:rsid w:val="00CF0561"/>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164F"/>
    <w:rsid w:val="00D63967"/>
    <w:rsid w:val="00D71762"/>
    <w:rsid w:val="00D7387D"/>
    <w:rsid w:val="00D8304F"/>
    <w:rsid w:val="00D83DCB"/>
    <w:rsid w:val="00D84E67"/>
    <w:rsid w:val="00D90AFD"/>
    <w:rsid w:val="00D92BF8"/>
    <w:rsid w:val="00DA1FAD"/>
    <w:rsid w:val="00DA51A9"/>
    <w:rsid w:val="00DA5E21"/>
    <w:rsid w:val="00DA764E"/>
    <w:rsid w:val="00DB7A42"/>
    <w:rsid w:val="00DC25E0"/>
    <w:rsid w:val="00DC4196"/>
    <w:rsid w:val="00DC79AD"/>
    <w:rsid w:val="00DE0643"/>
    <w:rsid w:val="00DE5095"/>
    <w:rsid w:val="00DE6549"/>
    <w:rsid w:val="00DF0755"/>
    <w:rsid w:val="00DF0DBA"/>
    <w:rsid w:val="00DF6015"/>
    <w:rsid w:val="00E05DA4"/>
    <w:rsid w:val="00E101B8"/>
    <w:rsid w:val="00E136A8"/>
    <w:rsid w:val="00E137C0"/>
    <w:rsid w:val="00E13EAE"/>
    <w:rsid w:val="00E1582E"/>
    <w:rsid w:val="00E1677F"/>
    <w:rsid w:val="00E16F8D"/>
    <w:rsid w:val="00E250A8"/>
    <w:rsid w:val="00E26E91"/>
    <w:rsid w:val="00E273B3"/>
    <w:rsid w:val="00E308B4"/>
    <w:rsid w:val="00E35A1C"/>
    <w:rsid w:val="00E35C8C"/>
    <w:rsid w:val="00E377CF"/>
    <w:rsid w:val="00E44B57"/>
    <w:rsid w:val="00E46E40"/>
    <w:rsid w:val="00E47004"/>
    <w:rsid w:val="00E477E3"/>
    <w:rsid w:val="00E479A5"/>
    <w:rsid w:val="00E55180"/>
    <w:rsid w:val="00E571DF"/>
    <w:rsid w:val="00E6086E"/>
    <w:rsid w:val="00E6215C"/>
    <w:rsid w:val="00E62F20"/>
    <w:rsid w:val="00E65CDE"/>
    <w:rsid w:val="00E76D48"/>
    <w:rsid w:val="00E76FEB"/>
    <w:rsid w:val="00E82A60"/>
    <w:rsid w:val="00E82E43"/>
    <w:rsid w:val="00E835D2"/>
    <w:rsid w:val="00E836B7"/>
    <w:rsid w:val="00E84498"/>
    <w:rsid w:val="00E84FD0"/>
    <w:rsid w:val="00E86724"/>
    <w:rsid w:val="00E86EC1"/>
    <w:rsid w:val="00E94277"/>
    <w:rsid w:val="00EA1CA3"/>
    <w:rsid w:val="00EA2927"/>
    <w:rsid w:val="00EA3C9B"/>
    <w:rsid w:val="00EA7725"/>
    <w:rsid w:val="00EB19BE"/>
    <w:rsid w:val="00EB2D78"/>
    <w:rsid w:val="00EB6E2F"/>
    <w:rsid w:val="00EB6EEE"/>
    <w:rsid w:val="00EC02EC"/>
    <w:rsid w:val="00EC1807"/>
    <w:rsid w:val="00EC6BEE"/>
    <w:rsid w:val="00ED2335"/>
    <w:rsid w:val="00ED31AB"/>
    <w:rsid w:val="00ED36B6"/>
    <w:rsid w:val="00ED72F7"/>
    <w:rsid w:val="00EE52B4"/>
    <w:rsid w:val="00EF0D90"/>
    <w:rsid w:val="00EF1272"/>
    <w:rsid w:val="00F004DC"/>
    <w:rsid w:val="00F015E7"/>
    <w:rsid w:val="00F165EE"/>
    <w:rsid w:val="00F171F4"/>
    <w:rsid w:val="00F25C89"/>
    <w:rsid w:val="00F40715"/>
    <w:rsid w:val="00F44583"/>
    <w:rsid w:val="00F4495E"/>
    <w:rsid w:val="00F50910"/>
    <w:rsid w:val="00F5371A"/>
    <w:rsid w:val="00F5775B"/>
    <w:rsid w:val="00F670DD"/>
    <w:rsid w:val="00F73C09"/>
    <w:rsid w:val="00F75A67"/>
    <w:rsid w:val="00F81C10"/>
    <w:rsid w:val="00F8357A"/>
    <w:rsid w:val="00F839CE"/>
    <w:rsid w:val="00F91AC7"/>
    <w:rsid w:val="00F92EE4"/>
    <w:rsid w:val="00F93697"/>
    <w:rsid w:val="00FA3A2B"/>
    <w:rsid w:val="00FA6CF0"/>
    <w:rsid w:val="00FA7449"/>
    <w:rsid w:val="00FB0F00"/>
    <w:rsid w:val="00FB1C4B"/>
    <w:rsid w:val="00FB5A6A"/>
    <w:rsid w:val="00FB6D8A"/>
    <w:rsid w:val="00FB7780"/>
    <w:rsid w:val="00FC1E7F"/>
    <w:rsid w:val="00FC278C"/>
    <w:rsid w:val="00FC304E"/>
    <w:rsid w:val="00FC46FF"/>
    <w:rsid w:val="00FC68E1"/>
    <w:rsid w:val="00FC7DF8"/>
    <w:rsid w:val="00FD0C5C"/>
    <w:rsid w:val="00FD0FD7"/>
    <w:rsid w:val="00FD2A0A"/>
    <w:rsid w:val="00FD4489"/>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C0751-1227-43BB-ACFA-FE85ACB1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3299</Words>
  <Characters>18805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2017-09-28T18:19:00Z</dcterms:modified>
</cp:coreProperties>
</file>